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480" w:lineRule="auto"/>
        <w:ind w:right="28"/>
        <w:jc w:val="center"/>
        <w:rPr>
          <w:rFonts w:hint="eastAsia" w:ascii="Times New Roman" w:hAnsi="Times New Roman" w:eastAsia="方正小标宋简体" w:cs="Times New Roman"/>
          <w:kern w:val="0"/>
          <w:sz w:val="44"/>
          <w:szCs w:val="44"/>
          <w:lang w:val="en-US" w:eastAsia="zh-CN"/>
        </w:rPr>
      </w:pPr>
      <w:r>
        <w:rPr>
          <w:rFonts w:hint="eastAsia" w:ascii="Times New Roman" w:hAnsi="Times New Roman" w:eastAsia="方正小标宋简体" w:cs="Times New Roman"/>
          <w:kern w:val="0"/>
          <w:sz w:val="44"/>
          <w:szCs w:val="44"/>
          <w:lang w:val="en-US" w:eastAsia="zh-CN"/>
        </w:rPr>
        <w:t>社会实践教学设计（实践环节</w:t>
      </w:r>
      <w:bookmarkStart w:id="4" w:name="_GoBack"/>
      <w:bookmarkEnd w:id="4"/>
      <w:r>
        <w:rPr>
          <w:rFonts w:hint="eastAsia" w:ascii="Times New Roman" w:hAnsi="Times New Roman" w:eastAsia="方正小标宋简体" w:cs="Times New Roman"/>
          <w:kern w:val="0"/>
          <w:sz w:val="44"/>
          <w:szCs w:val="44"/>
          <w:lang w:val="en-US" w:eastAsia="zh-CN"/>
        </w:rPr>
        <w:t>）</w:t>
      </w:r>
    </w:p>
    <w:p>
      <w:pPr>
        <w:spacing w:line="360" w:lineRule="auto"/>
        <w:rPr>
          <w:rFonts w:hint="eastAsia"/>
          <w:sz w:val="24"/>
          <w:szCs w:val="24"/>
          <w:lang w:val="en-US" w:eastAsia="zh-CN"/>
        </w:rPr>
      </w:pPr>
    </w:p>
    <w:p>
      <w:pPr>
        <w:numPr>
          <w:numId w:val="0"/>
        </w:numPr>
        <w:spacing w:line="360" w:lineRule="auto"/>
        <w:rPr>
          <w:rFonts w:hint="eastAsia" w:ascii="Times New Roman" w:hAnsi="Times New Roman" w:eastAsia="仿宋_GB2312" w:cs="Times New Roman"/>
          <w:b/>
          <w:bCs/>
          <w:kern w:val="0"/>
          <w:sz w:val="32"/>
          <w:szCs w:val="32"/>
          <w:lang w:val="en-US" w:eastAsia="zh-CN"/>
        </w:rPr>
      </w:pPr>
      <w:r>
        <w:rPr>
          <w:rFonts w:hint="eastAsia" w:ascii="Times New Roman" w:hAnsi="Times New Roman" w:eastAsia="仿宋_GB2312" w:cs="Times New Roman"/>
          <w:b/>
          <w:bCs/>
          <w:kern w:val="0"/>
          <w:sz w:val="32"/>
          <w:szCs w:val="32"/>
          <w:lang w:val="en-US" w:eastAsia="zh-CN"/>
        </w:rPr>
        <w:t>【教学分析】</w:t>
      </w:r>
    </w:p>
    <w:p>
      <w:pPr>
        <w:numPr>
          <w:ilvl w:val="0"/>
          <w:numId w:val="1"/>
        </w:numPr>
        <w:spacing w:line="360" w:lineRule="auto"/>
        <w:rPr>
          <w:rFonts w:hint="eastAsia" w:ascii="Times New Roman" w:hAnsi="Times New Roman" w:eastAsia="仿宋_GB2312" w:cs="Times New Roman"/>
          <w:b/>
          <w:bCs/>
          <w:kern w:val="0"/>
          <w:sz w:val="28"/>
          <w:szCs w:val="28"/>
          <w:lang w:val="en-US" w:eastAsia="zh-CN"/>
        </w:rPr>
      </w:pPr>
      <w:r>
        <w:rPr>
          <w:rFonts w:hint="eastAsia" w:ascii="Times New Roman" w:hAnsi="Times New Roman" w:eastAsia="仿宋_GB2312" w:cs="Times New Roman"/>
          <w:b/>
          <w:bCs/>
          <w:kern w:val="0"/>
          <w:sz w:val="28"/>
          <w:szCs w:val="28"/>
          <w:lang w:val="en-US" w:eastAsia="zh-CN"/>
        </w:rPr>
        <w:t>单元内容分析</w:t>
      </w:r>
    </w:p>
    <w:p>
      <w:pPr>
        <w:spacing w:line="360" w:lineRule="auto"/>
        <w:ind w:firstLine="560" w:firstLineChars="200"/>
        <w:rPr>
          <w:rFonts w:hint="eastAsia"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为深入学习贯彻习近平新时代中国特色社会主义思想和党的十九大精神，把落实全国高校思想政治工作会议精神和全国教育大会精神进一步引向深入，积极引导我校青年学生在社会实践中了解国情、感知社情、体察民情，培养“一懂两爱”的学科情怀，为实施乡村振兴战略、助力脱贫攻坚、加快农业农村现代化步伐贡献青春力量，助力学校“双一流”建设。以“担当强农兴农使命  培养知农爱农人才”为主题，开展社会实践的实践课程环节。</w:t>
      </w:r>
    </w:p>
    <w:p>
      <w:pPr>
        <w:numPr>
          <w:ilvl w:val="0"/>
          <w:numId w:val="1"/>
        </w:numPr>
        <w:spacing w:line="360" w:lineRule="auto"/>
        <w:rPr>
          <w:rFonts w:hint="default" w:ascii="Times New Roman" w:hAnsi="Times New Roman" w:eastAsia="仿宋_GB2312" w:cs="Times New Roman"/>
          <w:b/>
          <w:bCs/>
          <w:kern w:val="0"/>
          <w:sz w:val="28"/>
          <w:szCs w:val="28"/>
          <w:lang w:val="en-US" w:eastAsia="zh-CN"/>
        </w:rPr>
      </w:pPr>
      <w:r>
        <w:rPr>
          <w:rFonts w:hint="eastAsia" w:ascii="Times New Roman" w:hAnsi="Times New Roman" w:eastAsia="仿宋_GB2312" w:cs="Times New Roman"/>
          <w:b/>
          <w:bCs/>
          <w:kern w:val="0"/>
          <w:sz w:val="28"/>
          <w:szCs w:val="28"/>
          <w:lang w:val="en-US" w:eastAsia="zh-CN"/>
        </w:rPr>
        <w:t>学生学情分析</w:t>
      </w:r>
    </w:p>
    <w:p>
      <w:pPr>
        <w:spacing w:line="360" w:lineRule="auto"/>
        <w:rPr>
          <w:rFonts w:hint="eastAsia"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（1）知识背景</w:t>
      </w:r>
    </w:p>
    <w:p>
      <w:pPr>
        <w:spacing w:line="360" w:lineRule="auto"/>
        <w:ind w:firstLine="560" w:firstLineChars="200"/>
        <w:rPr>
          <w:rFonts w:hint="default"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面向全校全学程、全学科的本科生、研究生学生，实现全覆盖。</w:t>
      </w:r>
    </w:p>
    <w:p>
      <w:pPr>
        <w:spacing w:line="360" w:lineRule="auto"/>
        <w:rPr>
          <w:rFonts w:hint="default"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（2）学生特点</w:t>
      </w:r>
    </w:p>
    <w:p>
      <w:pPr>
        <w:numPr>
          <w:ilvl w:val="0"/>
          <w:numId w:val="0"/>
        </w:numPr>
        <w:spacing w:line="360" w:lineRule="auto"/>
        <w:ind w:firstLine="560" w:firstLineChars="200"/>
        <w:rPr>
          <w:rFonts w:hint="eastAsia"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具有农林专业学科背景，让学生成为懂农业、爱农民、爱农村的新三农人才，努力培养德智体美劳全面发展的时代“新农人”。</w:t>
      </w:r>
    </w:p>
    <w:p>
      <w:pPr>
        <w:numPr>
          <w:ilvl w:val="0"/>
          <w:numId w:val="0"/>
        </w:numPr>
        <w:spacing w:line="360" w:lineRule="auto"/>
        <w:rPr>
          <w:rFonts w:hint="eastAsia" w:ascii="Times New Roman" w:hAnsi="Times New Roman" w:eastAsia="仿宋_GB2312" w:cs="Times New Roman"/>
          <w:b/>
          <w:bCs/>
          <w:kern w:val="0"/>
          <w:sz w:val="32"/>
          <w:szCs w:val="32"/>
          <w:lang w:val="en-US" w:eastAsia="zh-CN"/>
        </w:rPr>
      </w:pPr>
      <w:r>
        <w:rPr>
          <w:rFonts w:hint="eastAsia" w:ascii="Times New Roman" w:hAnsi="Times New Roman" w:eastAsia="仿宋_GB2312" w:cs="Times New Roman"/>
          <w:b/>
          <w:bCs/>
          <w:kern w:val="0"/>
          <w:sz w:val="32"/>
          <w:szCs w:val="32"/>
          <w:lang w:val="en-US" w:eastAsia="zh-CN"/>
        </w:rPr>
        <w:t>【教学目标】</w:t>
      </w:r>
    </w:p>
    <w:p>
      <w:pPr>
        <w:numPr>
          <w:ilvl w:val="0"/>
          <w:numId w:val="2"/>
        </w:numPr>
        <w:spacing w:line="360" w:lineRule="auto"/>
        <w:rPr>
          <w:rFonts w:hint="eastAsia" w:ascii="Times New Roman" w:hAnsi="Times New Roman" w:eastAsia="仿宋_GB2312" w:cs="Times New Roman"/>
          <w:b/>
          <w:bCs/>
          <w:kern w:val="0"/>
          <w:sz w:val="28"/>
          <w:szCs w:val="28"/>
          <w:lang w:val="en-US" w:eastAsia="zh-CN"/>
        </w:rPr>
      </w:pPr>
      <w:r>
        <w:rPr>
          <w:rFonts w:hint="eastAsia" w:ascii="Times New Roman" w:hAnsi="Times New Roman" w:eastAsia="仿宋_GB2312" w:cs="Times New Roman"/>
          <w:b/>
          <w:bCs/>
          <w:kern w:val="0"/>
          <w:sz w:val="28"/>
          <w:szCs w:val="28"/>
          <w:lang w:val="en-US" w:eastAsia="zh-CN"/>
        </w:rPr>
        <w:t>知识目标</w:t>
      </w:r>
    </w:p>
    <w:p>
      <w:pPr>
        <w:spacing w:line="360" w:lineRule="auto"/>
        <w:ind w:firstLine="560" w:firstLineChars="200"/>
        <w:rPr>
          <w:rFonts w:hint="eastAsia"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社会实践是专业理论知识与创新思维的融合剂，学科专业知识学习是大学生的基本任务，</w:t>
      </w:r>
      <w:r>
        <w:rPr>
          <w:rFonts w:hint="eastAsia" w:ascii="Times New Roman" w:hAnsi="Times New Roman" w:eastAsia="仿宋_GB2312" w:cs="Times New Roman"/>
          <w:kern w:val="0"/>
          <w:sz w:val="28"/>
          <w:szCs w:val="28"/>
          <w:lang w:val="en-US" w:eastAsia="zh-CN"/>
        </w:rPr>
        <w:t>大学生社会实践是一种社会化实践，通过实践加强大学生对专业知识的理解，促进专业知识的创新。社会实践促使学科专业知识在实际应用中不断得以修正，促进知识储备在实践环节中转化为专业能力与专业成果。</w:t>
      </w:r>
    </w:p>
    <w:p>
      <w:pPr>
        <w:numPr>
          <w:ilvl w:val="0"/>
          <w:numId w:val="2"/>
        </w:numPr>
        <w:spacing w:line="360" w:lineRule="auto"/>
        <w:rPr>
          <w:rFonts w:hint="default" w:ascii="Times New Roman" w:hAnsi="Times New Roman" w:eastAsia="仿宋_GB2312" w:cs="Times New Roman"/>
          <w:b/>
          <w:bCs/>
          <w:kern w:val="0"/>
          <w:sz w:val="28"/>
          <w:szCs w:val="28"/>
          <w:lang w:val="en-US" w:eastAsia="zh-CN"/>
        </w:rPr>
      </w:pPr>
      <w:r>
        <w:rPr>
          <w:rFonts w:hint="eastAsia" w:ascii="Times New Roman" w:hAnsi="Times New Roman" w:eastAsia="仿宋_GB2312" w:cs="Times New Roman"/>
          <w:b/>
          <w:bCs/>
          <w:kern w:val="0"/>
          <w:sz w:val="28"/>
          <w:szCs w:val="28"/>
          <w:lang w:val="en-US" w:eastAsia="zh-CN"/>
        </w:rPr>
        <w:t>能力目标</w:t>
      </w:r>
    </w:p>
    <w:p>
      <w:pPr>
        <w:spacing w:line="360" w:lineRule="auto"/>
        <w:ind w:firstLine="560" w:firstLineChars="200"/>
        <w:rPr>
          <w:rFonts w:hint="default"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大学生社会实践活动是大幅度增强综合素质的杠杆。通过深化课堂理论知识学习、培养实操动手能力、沟通能力、社会适应能力，提升学生的实践素质、专业素质、政治素质、道德素质，促进个人的社会化发展</w:t>
      </w:r>
      <w:r>
        <w:rPr>
          <w:rFonts w:hint="eastAsia" w:ascii="Times New Roman" w:hAnsi="Times New Roman" w:eastAsia="仿宋_GB2312" w:cs="Times New Roman"/>
          <w:kern w:val="0"/>
          <w:sz w:val="28"/>
          <w:szCs w:val="28"/>
          <w:lang w:val="en-US" w:eastAsia="zh-CN"/>
        </w:rPr>
        <w:t>。</w:t>
      </w:r>
    </w:p>
    <w:p>
      <w:pPr>
        <w:numPr>
          <w:ilvl w:val="0"/>
          <w:numId w:val="2"/>
        </w:numPr>
        <w:spacing w:line="360" w:lineRule="auto"/>
        <w:rPr>
          <w:rFonts w:hint="default" w:ascii="Times New Roman" w:hAnsi="Times New Roman" w:eastAsia="仿宋_GB2312" w:cs="Times New Roman"/>
          <w:b/>
          <w:bCs/>
          <w:kern w:val="0"/>
          <w:sz w:val="28"/>
          <w:szCs w:val="28"/>
          <w:lang w:val="en-US" w:eastAsia="zh-CN"/>
        </w:rPr>
      </w:pPr>
      <w:r>
        <w:rPr>
          <w:rFonts w:hint="eastAsia" w:ascii="Times New Roman" w:hAnsi="Times New Roman" w:eastAsia="仿宋_GB2312" w:cs="Times New Roman"/>
          <w:b/>
          <w:bCs/>
          <w:kern w:val="0"/>
          <w:sz w:val="28"/>
          <w:szCs w:val="28"/>
          <w:lang w:val="en-US" w:eastAsia="zh-CN"/>
        </w:rPr>
        <w:t>情感目标</w:t>
      </w:r>
    </w:p>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坚持理论学习、创新思维与社会实践相统一，坚持向实践学习、向人民群众学习，使学有所用、用有所成、学用相长，</w:t>
      </w:r>
      <w:r>
        <w:rPr>
          <w:rFonts w:hint="default" w:ascii="Times New Roman" w:hAnsi="Times New Roman" w:eastAsia="仿宋_GB2312" w:cs="Times New Roman"/>
          <w:kern w:val="0"/>
          <w:sz w:val="28"/>
          <w:szCs w:val="28"/>
          <w:lang w:val="en-US" w:eastAsia="zh-CN"/>
        </w:rPr>
        <w:t>培养大学生社会责任和使命担当</w:t>
      </w:r>
      <w:r>
        <w:rPr>
          <w:rFonts w:hint="eastAsia" w:ascii="Times New Roman" w:hAnsi="Times New Roman" w:eastAsia="仿宋_GB2312" w:cs="Times New Roman"/>
          <w:kern w:val="0"/>
          <w:sz w:val="28"/>
          <w:szCs w:val="28"/>
          <w:lang w:val="en-US" w:eastAsia="zh-CN"/>
        </w:rPr>
        <w:t>，</w:t>
      </w:r>
      <w:r>
        <w:rPr>
          <w:rFonts w:hint="default" w:ascii="Times New Roman" w:hAnsi="Times New Roman" w:eastAsia="仿宋_GB2312" w:cs="Times New Roman"/>
          <w:kern w:val="0"/>
          <w:sz w:val="28"/>
          <w:szCs w:val="28"/>
          <w:lang w:val="en-US" w:eastAsia="zh-CN"/>
        </w:rPr>
        <w:t>为培养学生“知农爱农”“一懂两爱”的学科情怀和青年的成长成才搭建舞台。</w:t>
      </w:r>
    </w:p>
    <w:p>
      <w:pPr>
        <w:numPr>
          <w:ilvl w:val="0"/>
          <w:numId w:val="0"/>
        </w:numPr>
        <w:spacing w:line="360" w:lineRule="auto"/>
        <w:rPr>
          <w:rFonts w:hint="eastAsia" w:ascii="Times New Roman" w:hAnsi="Times New Roman" w:eastAsia="仿宋_GB2312" w:cs="Times New Roman"/>
          <w:b/>
          <w:bCs/>
          <w:kern w:val="0"/>
          <w:sz w:val="32"/>
          <w:szCs w:val="32"/>
          <w:lang w:val="en-US" w:eastAsia="zh-CN"/>
        </w:rPr>
      </w:pPr>
      <w:r>
        <w:rPr>
          <w:rFonts w:hint="eastAsia" w:ascii="Times New Roman" w:hAnsi="Times New Roman" w:eastAsia="仿宋_GB2312" w:cs="Times New Roman"/>
          <w:b/>
          <w:bCs/>
          <w:kern w:val="0"/>
          <w:sz w:val="32"/>
          <w:szCs w:val="32"/>
          <w:lang w:val="en-US" w:eastAsia="zh-CN"/>
        </w:rPr>
        <w:t>【教学过程设计思路】</w:t>
      </w:r>
    </w:p>
    <w:p>
      <w:pPr>
        <w:spacing w:line="360" w:lineRule="auto"/>
        <w:ind w:firstLine="560" w:firstLineChars="200"/>
        <w:jc w:val="left"/>
        <w:rPr>
          <w:rFonts w:hint="eastAsia"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坚持“按需设项、据项组团、多方受益”的原则，促进大学生社会实践与教学科研有效结合，充分发挥学校实践基地平台作用，采用集中组织与分散行动相结合、项目化带动等形式，以政策宣讲、社会调研、农技推广、义务支教、环境保护、文化对接、产业帮扶为主要内容开展活动。采取分散活动与集中组队相结合、线上与线下相结合的形式。</w:t>
      </w:r>
    </w:p>
    <w:p>
      <w:pPr>
        <w:numPr>
          <w:ilvl w:val="0"/>
          <w:numId w:val="3"/>
        </w:numPr>
        <w:spacing w:line="360" w:lineRule="auto"/>
        <w:jc w:val="left"/>
        <w:rPr>
          <w:rFonts w:hint="eastAsia" w:ascii="Times New Roman" w:hAnsi="Times New Roman" w:eastAsia="仿宋_GB2312" w:cs="Times New Roman"/>
          <w:b/>
          <w:bCs/>
          <w:kern w:val="0"/>
          <w:sz w:val="28"/>
          <w:szCs w:val="28"/>
          <w:lang w:val="en-US" w:eastAsia="zh-CN"/>
        </w:rPr>
      </w:pPr>
      <w:r>
        <w:rPr>
          <w:rFonts w:hint="eastAsia" w:ascii="Times New Roman" w:hAnsi="Times New Roman" w:eastAsia="仿宋_GB2312" w:cs="Times New Roman"/>
          <w:b/>
          <w:bCs/>
          <w:kern w:val="0"/>
          <w:sz w:val="28"/>
          <w:szCs w:val="28"/>
          <w:lang w:val="en-US" w:eastAsia="zh-CN"/>
        </w:rPr>
        <w:t>集中组织实践团队</w:t>
      </w:r>
    </w:p>
    <w:p>
      <w:pPr>
        <w:numPr>
          <w:numId w:val="0"/>
        </w:numPr>
        <w:spacing w:line="360" w:lineRule="auto"/>
        <w:ind w:firstLine="560" w:firstLineChars="200"/>
        <w:jc w:val="left"/>
        <w:rPr>
          <w:rFonts w:hint="eastAsia"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针对专项选题，重点组建一批骨干团队，以提升活动实效和影响力。团队学生人数为8-12人，带队教师1名，指导老师1名，活动时间原则上不少于10天。结合专业实践和基层需求，吸收不同院系、不同专业、不同年级的同学参与，鼓励博士、硕士研究生参与，有针对性地申报立项，注重活动的实效和高水平实践成果的产出。</w:t>
      </w:r>
    </w:p>
    <w:p>
      <w:pPr>
        <w:numPr>
          <w:ilvl w:val="0"/>
          <w:numId w:val="3"/>
        </w:numPr>
        <w:spacing w:line="360" w:lineRule="auto"/>
        <w:ind w:left="0" w:leftChars="0" w:firstLine="0" w:firstLineChars="0"/>
        <w:jc w:val="left"/>
        <w:rPr>
          <w:rFonts w:hint="eastAsia" w:ascii="Times New Roman" w:hAnsi="Times New Roman" w:eastAsia="仿宋_GB2312" w:cs="Times New Roman"/>
          <w:b/>
          <w:bCs/>
          <w:kern w:val="0"/>
          <w:sz w:val="28"/>
          <w:szCs w:val="28"/>
          <w:lang w:val="en-US" w:eastAsia="zh-CN"/>
        </w:rPr>
      </w:pPr>
      <w:r>
        <w:rPr>
          <w:rFonts w:hint="eastAsia" w:ascii="Times New Roman" w:hAnsi="Times New Roman" w:eastAsia="仿宋_GB2312" w:cs="Times New Roman"/>
          <w:b/>
          <w:bCs/>
          <w:kern w:val="0"/>
          <w:sz w:val="28"/>
          <w:szCs w:val="28"/>
          <w:lang w:val="en-US" w:eastAsia="zh-CN"/>
        </w:rPr>
        <w:t>分散组织个人实践</w:t>
      </w:r>
    </w:p>
    <w:p>
      <w:pPr>
        <w:numPr>
          <w:numId w:val="0"/>
        </w:numPr>
        <w:spacing w:line="360" w:lineRule="auto"/>
        <w:ind w:leftChars="0" w:firstLine="560" w:firstLineChars="200"/>
        <w:jc w:val="left"/>
        <w:rPr>
          <w:rFonts w:hint="eastAsia"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针对自主选题，根据事先设计的内容和要求，就近就便开展社会实践、调查研究或志愿服务，结合实践，撰写调研报告、实践论文或心得体会。</w:t>
      </w:r>
    </w:p>
    <w:p>
      <w:pPr>
        <w:numPr>
          <w:ilvl w:val="0"/>
          <w:numId w:val="0"/>
        </w:numPr>
        <w:spacing w:line="360" w:lineRule="auto"/>
        <w:rPr>
          <w:rFonts w:hint="eastAsia" w:ascii="Times New Roman" w:hAnsi="Times New Roman" w:eastAsia="仿宋_GB2312" w:cs="Times New Roman"/>
          <w:b/>
          <w:bCs/>
          <w:kern w:val="0"/>
          <w:sz w:val="32"/>
          <w:szCs w:val="32"/>
          <w:lang w:val="en-US" w:eastAsia="zh-CN"/>
        </w:rPr>
      </w:pPr>
      <w:r>
        <w:rPr>
          <w:rFonts w:hint="eastAsia" w:ascii="Times New Roman" w:hAnsi="Times New Roman" w:eastAsia="仿宋_GB2312" w:cs="Times New Roman"/>
          <w:b/>
          <w:bCs/>
          <w:kern w:val="0"/>
          <w:sz w:val="32"/>
          <w:szCs w:val="32"/>
          <w:lang w:val="en-US" w:eastAsia="zh-CN"/>
        </w:rPr>
        <w:t>【教学过程设计】</w:t>
      </w:r>
    </w:p>
    <w:tbl>
      <w:tblPr>
        <w:tblStyle w:val="5"/>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99"/>
        <w:gridCol w:w="2101"/>
        <w:gridCol w:w="542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dxa"/>
            <w:vAlign w:val="center"/>
          </w:tcPr>
          <w:p>
            <w:pPr>
              <w:spacing w:line="360" w:lineRule="auto"/>
              <w:jc w:val="center"/>
              <w:rPr>
                <w:rFonts w:hint="default"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教学环节</w:t>
            </w:r>
          </w:p>
        </w:tc>
        <w:tc>
          <w:tcPr>
            <w:tcW w:w="2101" w:type="dxa"/>
            <w:vAlign w:val="center"/>
          </w:tcPr>
          <w:p>
            <w:pPr>
              <w:spacing w:line="360" w:lineRule="auto"/>
              <w:jc w:val="center"/>
              <w:rPr>
                <w:rFonts w:hint="default"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教学内容</w:t>
            </w:r>
          </w:p>
        </w:tc>
        <w:tc>
          <w:tcPr>
            <w:tcW w:w="5422" w:type="dxa"/>
            <w:vAlign w:val="center"/>
          </w:tcPr>
          <w:p>
            <w:pPr>
              <w:spacing w:line="360" w:lineRule="auto"/>
              <w:jc w:val="center"/>
              <w:rPr>
                <w:rFonts w:hint="default"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教学组织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dxa"/>
            <w:vAlign w:val="center"/>
          </w:tcPr>
          <w:p>
            <w:pPr>
              <w:spacing w:line="360" w:lineRule="auto"/>
              <w:jc w:val="center"/>
              <w:rPr>
                <w:rFonts w:hint="default"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课的导入</w:t>
            </w: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社会实践理论课程</w:t>
            </w: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回顾前期讲述的《</w:t>
            </w:r>
            <w:r>
              <w:rPr>
                <w:rFonts w:hint="default" w:ascii="Times New Roman" w:hAnsi="Times New Roman" w:eastAsia="仿宋_GB2312" w:cs="Times New Roman"/>
                <w:kern w:val="0"/>
                <w:sz w:val="28"/>
                <w:szCs w:val="28"/>
                <w:lang w:val="en-US" w:eastAsia="zh-CN"/>
              </w:rPr>
              <w:t>大学生社会实践概论与选题</w:t>
            </w:r>
            <w:r>
              <w:rPr>
                <w:rFonts w:hint="eastAsia" w:ascii="Times New Roman" w:hAnsi="Times New Roman" w:eastAsia="仿宋_GB2312" w:cs="Times New Roman"/>
                <w:kern w:val="0"/>
                <w:sz w:val="28"/>
                <w:szCs w:val="28"/>
                <w:lang w:val="en-US" w:eastAsia="zh-CN"/>
              </w:rPr>
              <w:t>》《大学生社会实践的策划与申报》《大学生社会实践的实施与执行、社会实践的方法与技能》《社会实践的总结与成果转化》5个理论专题的讲述，全面了解社会实践课程的开设意义、运行方式、活动目标、开展思路，为更好开展实践环节奠定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dxa"/>
            <w:vAlign w:val="center"/>
          </w:tcPr>
          <w:p>
            <w:pPr>
              <w:spacing w:line="360" w:lineRule="auto"/>
              <w:jc w:val="center"/>
              <w:rPr>
                <w:rFonts w:hint="default"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教学目标</w:t>
            </w:r>
          </w:p>
        </w:tc>
        <w:tc>
          <w:tcPr>
            <w:tcW w:w="2101" w:type="dxa"/>
            <w:vAlign w:val="center"/>
          </w:tcPr>
          <w:p>
            <w:pPr>
              <w:spacing w:line="360" w:lineRule="auto"/>
              <w:jc w:val="center"/>
              <w:rPr>
                <w:rFonts w:hint="default" w:ascii="Times New Roman" w:hAnsi="Times New Roman" w:eastAsia="仿宋_GB2312" w:cs="Times New Roman"/>
                <w:kern w:val="0"/>
                <w:sz w:val="28"/>
                <w:szCs w:val="28"/>
                <w:lang w:val="en-US" w:eastAsia="zh-CN"/>
              </w:rPr>
            </w:pPr>
          </w:p>
          <w:p>
            <w:pPr>
              <w:spacing w:line="360" w:lineRule="auto"/>
              <w:jc w:val="center"/>
              <w:rPr>
                <w:rFonts w:hint="default" w:ascii="Times New Roman" w:hAnsi="Times New Roman" w:eastAsia="仿宋_GB2312" w:cs="Times New Roman"/>
                <w:kern w:val="0"/>
                <w:sz w:val="28"/>
                <w:szCs w:val="28"/>
                <w:lang w:val="en-US" w:eastAsia="zh-CN"/>
              </w:rPr>
            </w:pPr>
          </w:p>
          <w:p>
            <w:pPr>
              <w:spacing w:line="360" w:lineRule="auto"/>
              <w:jc w:val="center"/>
              <w:rPr>
                <w:rFonts w:hint="default"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p>
          <w:p>
            <w:pPr>
              <w:spacing w:line="360" w:lineRule="auto"/>
              <w:jc w:val="center"/>
              <w:rPr>
                <w:rFonts w:hint="default" w:ascii="Times New Roman" w:hAnsi="Times New Roman" w:eastAsia="仿宋_GB2312" w:cs="Times New Roman"/>
                <w:kern w:val="0"/>
                <w:sz w:val="28"/>
                <w:szCs w:val="28"/>
                <w:lang w:val="en-US" w:eastAsia="zh-CN"/>
              </w:rPr>
            </w:pPr>
          </w:p>
          <w:p>
            <w:pPr>
              <w:spacing w:line="360" w:lineRule="auto"/>
              <w:jc w:val="center"/>
              <w:rPr>
                <w:rFonts w:hint="default" w:ascii="Times New Roman" w:hAnsi="Times New Roman" w:eastAsia="仿宋_GB2312" w:cs="Times New Roman"/>
                <w:kern w:val="0"/>
                <w:sz w:val="28"/>
                <w:szCs w:val="28"/>
                <w:lang w:val="en-US" w:eastAsia="zh-CN"/>
              </w:rPr>
            </w:pPr>
          </w:p>
          <w:p>
            <w:pPr>
              <w:spacing w:line="360" w:lineRule="auto"/>
              <w:jc w:val="center"/>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融入思想引领</w:t>
            </w:r>
          </w:p>
          <w:p>
            <w:pPr>
              <w:spacing w:line="360" w:lineRule="auto"/>
              <w:jc w:val="center"/>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融入国家战略</w:t>
            </w:r>
          </w:p>
          <w:p>
            <w:pPr>
              <w:spacing w:line="360" w:lineRule="auto"/>
              <w:jc w:val="center"/>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融入社会需求</w:t>
            </w:r>
          </w:p>
          <w:p>
            <w:pPr>
              <w:spacing w:line="360" w:lineRule="auto"/>
              <w:jc w:val="center"/>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融入人才培养</w:t>
            </w:r>
          </w:p>
          <w:p>
            <w:pPr>
              <w:spacing w:line="360" w:lineRule="auto"/>
              <w:jc w:val="center"/>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融入文化传承</w:t>
            </w: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党和国家历来高度重视实践育人工作。坚持教育与生产劳动和社会实践相结合是党的教育方针的重要内容。进一步加强高校实践育人工作，是全面落实党的教育方针，把社会主义核心价值体系贯穿于国民教育全过程，深入实施素质教育，大力提高高等教育质量的必然要求。将社会实践作为思想政治理论课实践教学的延展，通过实践活动培养学生的世界观、人生观、价值观，将加强实践育人理念贯穿到人才培养机制改革始终。坚持“五融入”，努力培养德智体美劳全面发展的时代“新农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9" w:hRule="atLeast"/>
        </w:trPr>
        <w:tc>
          <w:tcPr>
            <w:tcW w:w="999" w:type="dxa"/>
            <w:vMerge w:val="restart"/>
            <w:vAlign w:val="center"/>
          </w:tcPr>
          <w:p>
            <w:pPr>
              <w:spacing w:line="360" w:lineRule="auto"/>
              <w:jc w:val="both"/>
              <w:rPr>
                <w:rFonts w:hint="default"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课程开 展</w:t>
            </w:r>
          </w:p>
        </w:tc>
        <w:tc>
          <w:tcPr>
            <w:tcW w:w="2101" w:type="dxa"/>
            <w:vAlign w:val="center"/>
          </w:tcPr>
          <w:p>
            <w:pPr>
              <w:spacing w:line="360" w:lineRule="auto"/>
              <w:jc w:val="center"/>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“服务乡村振兴战略”专项活动</w:t>
            </w:r>
          </w:p>
          <w:p>
            <w:pPr>
              <w:spacing w:line="360" w:lineRule="auto"/>
              <w:ind w:firstLine="560" w:firstLineChars="200"/>
              <w:jc w:val="center"/>
              <w:rPr>
                <w:rFonts w:hint="default" w:ascii="Times New Roman" w:hAnsi="Times New Roman" w:eastAsia="仿宋_GB2312" w:cs="Times New Roman"/>
                <w:kern w:val="0"/>
                <w:sz w:val="28"/>
                <w:szCs w:val="28"/>
                <w:lang w:val="en-US" w:eastAsia="zh-CN"/>
              </w:rPr>
            </w:pP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根据党的十九大提出的战略安排，围绕中央农村工作会议确定的“实施乡村振兴战略”目标要求，积极动员广大青年参与乡村政治建设、经济建设、文化建设、社会建设及生态建设，努力构建青年大学生服务乡村振兴战略新格局，培养造就一支懂农业、爱农村、爱农民的“三农”工作队伍。各院（系、所）团委组建乡村调查研究实践团队、政策理论宣传实践团队、乡村振兴服务实践团队，充分发挥学院学科、专业优势，开展乡情调研、政策理论宣讲、科技支农、环保支农、教育支农、创新创业支农、文化下乡等活动，为服务乡村振兴做出贡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3" w:hRule="atLeast"/>
        </w:trPr>
        <w:tc>
          <w:tcPr>
            <w:tcW w:w="999" w:type="dxa"/>
            <w:vMerge w:val="continue"/>
            <w:vAlign w:val="center"/>
          </w:tcPr>
          <w:p>
            <w:pPr>
              <w:spacing w:line="360" w:lineRule="auto"/>
              <w:ind w:firstLine="560" w:firstLineChars="200"/>
              <w:jc w:val="center"/>
              <w:rPr>
                <w:rFonts w:hint="eastAsia" w:ascii="Times New Roman" w:hAnsi="Times New Roman" w:eastAsia="仿宋_GB2312" w:cs="Times New Roman"/>
                <w:kern w:val="0"/>
                <w:sz w:val="28"/>
                <w:szCs w:val="28"/>
                <w:lang w:val="en-US" w:eastAsia="zh-CN"/>
              </w:rPr>
            </w:pP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“青春助力脱贫攻坚”专项活动</w:t>
            </w:r>
          </w:p>
          <w:p>
            <w:pPr>
              <w:spacing w:line="360" w:lineRule="auto"/>
              <w:ind w:firstLine="560" w:firstLineChars="200"/>
              <w:jc w:val="center"/>
              <w:rPr>
                <w:rFonts w:hint="default" w:ascii="Times New Roman" w:hAnsi="Times New Roman" w:eastAsia="仿宋_GB2312" w:cs="Times New Roman"/>
                <w:kern w:val="0"/>
                <w:sz w:val="28"/>
                <w:szCs w:val="28"/>
                <w:lang w:val="en-US" w:eastAsia="zh-CN"/>
              </w:rPr>
            </w:pP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脱贫攻坚是全面建成小康社会决胜阶段的首要任务，是党对全国人民的庄严承诺。“党有号召，团有行动”，今年暑期社会实践，校团委将以陕西省合阳县、镇巴县、城固县、吴堡县等陕西贫困县区作为我校大学生助力脱贫攻坚战略的基层第一线，继续引导团员青年自觉投身脱贫攻坚，以实际行动为贫困群众造福。各院（系、所）团委应以各县的贫困乡村为实践地，积极组织引导学生以团队的形式开展留守儿童义务支教、乡村调查研究、三农政策宣传、技术推广服务、科学文化下乡、乡村就业创业、美丽乡村建设等专项行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8" w:hRule="atLeast"/>
        </w:trPr>
        <w:tc>
          <w:tcPr>
            <w:tcW w:w="999" w:type="dxa"/>
            <w:vMerge w:val="continue"/>
            <w:vAlign w:val="center"/>
          </w:tcPr>
          <w:p>
            <w:pPr>
              <w:spacing w:line="360" w:lineRule="auto"/>
              <w:ind w:firstLine="560" w:firstLineChars="200"/>
              <w:jc w:val="center"/>
              <w:rPr>
                <w:rFonts w:hint="eastAsia" w:ascii="Times New Roman" w:hAnsi="Times New Roman" w:eastAsia="仿宋_GB2312" w:cs="Times New Roman"/>
                <w:kern w:val="0"/>
                <w:sz w:val="28"/>
                <w:szCs w:val="28"/>
                <w:lang w:val="en-US" w:eastAsia="zh-CN"/>
              </w:rPr>
            </w:pP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“青年红色筑梦之旅”专项活动</w:t>
            </w: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深入落实习近平总书记给中国“互联网+”大学生创新创业大赛“青年红色筑梦之旅”大学生重要回信精神，持续推动形成“延安一把火，全国一片红”的发展态势，弘扬开天辟地的“红船精神”，立足红色传承、立足实际需求、立足强国建设。各院（系、所）团委组织大学生参加“青年红色筑梦之旅”活动，深入革命老区、贫困地区和城乡社区，接受思想洗礼，助力脱贫攻坚、乡村振兴和社区治理，用创新创业的生动实践汇聚起民族复兴的磅礴力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3" w:hRule="atLeast"/>
        </w:trPr>
        <w:tc>
          <w:tcPr>
            <w:tcW w:w="999" w:type="dxa"/>
            <w:vMerge w:val="continue"/>
            <w:vAlign w:val="center"/>
          </w:tcPr>
          <w:p>
            <w:pPr>
              <w:spacing w:line="360" w:lineRule="auto"/>
              <w:ind w:firstLine="560" w:firstLineChars="200"/>
              <w:jc w:val="center"/>
              <w:rPr>
                <w:rFonts w:hint="eastAsia" w:ascii="Times New Roman" w:hAnsi="Times New Roman" w:eastAsia="仿宋_GB2312" w:cs="Times New Roman"/>
                <w:kern w:val="0"/>
                <w:sz w:val="28"/>
                <w:szCs w:val="28"/>
                <w:lang w:val="en-US" w:eastAsia="zh-CN"/>
              </w:rPr>
            </w:pP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“黄河流域高质量发展之乡村振兴百县万户大型调查”专项活动</w:t>
            </w:r>
          </w:p>
          <w:p>
            <w:pPr>
              <w:spacing w:line="360" w:lineRule="auto"/>
              <w:ind w:firstLine="560" w:firstLineChars="200"/>
              <w:jc w:val="center"/>
              <w:rPr>
                <w:rFonts w:hint="default" w:ascii="Times New Roman" w:hAnsi="Times New Roman" w:eastAsia="仿宋_GB2312" w:cs="Times New Roman"/>
                <w:kern w:val="0"/>
                <w:sz w:val="28"/>
                <w:szCs w:val="28"/>
                <w:lang w:val="en-US" w:eastAsia="zh-CN"/>
              </w:rPr>
            </w:pP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黄河流域是我国重要的生态屏障和经济地带，是打赢脱贫攻坚战的主要区域。为落实习近平总书记关于黄河流域生态保护和高质量发展座谈会上的讲话精神，更好发挥沿黄河流域高校和科研机构在推动黄高河流域高质量发展中的智力支持、科技支持和保障作用。校团委组织学生团队针对黄河流域8省100县，开展黄河流域水土资源高效利用和农业农村高质量发展为主要内容的专项调研，为黄河流域生态保护和高质量发展履行西农使命，贡献西农智慧和西农力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83" w:hRule="atLeast"/>
        </w:trPr>
        <w:tc>
          <w:tcPr>
            <w:tcW w:w="999" w:type="dxa"/>
            <w:vMerge w:val="continue"/>
            <w:vAlign w:val="center"/>
          </w:tcPr>
          <w:p>
            <w:pPr>
              <w:spacing w:line="360" w:lineRule="auto"/>
              <w:ind w:firstLine="560" w:firstLineChars="200"/>
              <w:jc w:val="center"/>
              <w:rPr>
                <w:rFonts w:hint="eastAsia" w:ascii="Times New Roman" w:hAnsi="Times New Roman" w:eastAsia="仿宋_GB2312" w:cs="Times New Roman"/>
                <w:kern w:val="0"/>
                <w:sz w:val="28"/>
                <w:szCs w:val="28"/>
                <w:lang w:val="en-US" w:eastAsia="zh-CN"/>
              </w:rPr>
            </w:pP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“脱贫攻坚与乡村振兴有机衔接”专项调研活动</w:t>
            </w:r>
          </w:p>
          <w:p>
            <w:pPr>
              <w:spacing w:line="360" w:lineRule="auto"/>
              <w:ind w:firstLine="560" w:firstLineChars="200"/>
              <w:jc w:val="center"/>
              <w:rPr>
                <w:rFonts w:hint="default" w:ascii="Times New Roman" w:hAnsi="Times New Roman" w:eastAsia="仿宋_GB2312" w:cs="Times New Roman"/>
                <w:kern w:val="0"/>
                <w:sz w:val="28"/>
                <w:szCs w:val="28"/>
                <w:lang w:val="en-US" w:eastAsia="zh-CN"/>
              </w:rPr>
            </w:pP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2020年是决胜全面建成小康社会、决战脱贫攻坚之年，也是“十三五”规划收官之年。脱贫攻坚任务完成后，各省、市、地区在确保如期打赢脱贫攻坚战的基础上，以消除绝对贫困为新起点，继续推进脱贫攻坚与乡村振兴有机衔接，确保平滑过渡，让脱贫摘帽地区走向全面振兴、共同富裕成为研究的新问题、新挑战。校团委组织学生团队组织学生以各县的贫困乡村为对象，了解突出问题、明确兜底保障、研究巩固成果，为建立健全支持乡村振兴的政策体系进言献策，贡献青年智慧和青春力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3" w:hRule="atLeast"/>
        </w:trPr>
        <w:tc>
          <w:tcPr>
            <w:tcW w:w="999" w:type="dxa"/>
            <w:vMerge w:val="continue"/>
            <w:vAlign w:val="center"/>
          </w:tcPr>
          <w:p>
            <w:pPr>
              <w:spacing w:line="360" w:lineRule="auto"/>
              <w:ind w:firstLine="560" w:firstLineChars="200"/>
              <w:jc w:val="center"/>
              <w:rPr>
                <w:rFonts w:hint="eastAsia" w:ascii="Times New Roman" w:hAnsi="Times New Roman" w:eastAsia="仿宋_GB2312" w:cs="Times New Roman"/>
                <w:kern w:val="0"/>
                <w:sz w:val="28"/>
                <w:szCs w:val="28"/>
                <w:lang w:val="en-US" w:eastAsia="zh-CN"/>
              </w:rPr>
            </w:pP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“陕西脱贫攻坚大走访”专项活动</w:t>
            </w:r>
          </w:p>
          <w:p>
            <w:pPr>
              <w:spacing w:line="360" w:lineRule="auto"/>
              <w:ind w:firstLine="560" w:firstLineChars="200"/>
              <w:jc w:val="center"/>
              <w:rPr>
                <w:rFonts w:hint="default" w:ascii="Times New Roman" w:hAnsi="Times New Roman" w:eastAsia="仿宋_GB2312" w:cs="Times New Roman"/>
                <w:kern w:val="0"/>
                <w:sz w:val="28"/>
                <w:szCs w:val="28"/>
                <w:lang w:val="en-US" w:eastAsia="zh-CN"/>
              </w:rPr>
            </w:pP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针对陕西省已经脱贫的县，校团委联合马克思主义学院，组织生源地学生，通过走访当地扶贫办、农业农村局、教育局、商业局等政府部门了解扶贫政策和成效，实地考察产业园区、农村、社区，以产业兴旺、生态宜居、乡风文明、治理有效、生活富裕为主要内容，系统了解陕西省的扶贫成果和农村建设。</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3" w:hRule="atLeast"/>
        </w:trPr>
        <w:tc>
          <w:tcPr>
            <w:tcW w:w="999" w:type="dxa"/>
            <w:vMerge w:val="continue"/>
            <w:vAlign w:val="center"/>
          </w:tcPr>
          <w:p>
            <w:pPr>
              <w:spacing w:line="360" w:lineRule="auto"/>
              <w:ind w:firstLine="560" w:firstLineChars="200"/>
              <w:jc w:val="center"/>
              <w:rPr>
                <w:rFonts w:hint="eastAsia" w:ascii="Times New Roman" w:hAnsi="Times New Roman" w:eastAsia="仿宋_GB2312" w:cs="Times New Roman"/>
                <w:kern w:val="0"/>
                <w:sz w:val="28"/>
                <w:szCs w:val="28"/>
                <w:lang w:val="en-US" w:eastAsia="zh-CN"/>
              </w:rPr>
            </w:pP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“西北五省‘民俗文化名录’”大调研</w:t>
            </w: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乡村振兴，乡风文明是保障。”民俗文化既是凝聚人心、教化群众、醇化民风的重要载体，也是重塑乡村文化生态、发展乡村特色文化产业的重要资源。校团委联合人文社会发展学院，通过组织开展西北地区民俗文化名录的调查、整理和研究，围绕西北五省（陕西、甘肃、青海、宁夏、新疆），以县级行政单位为基本调查区，围绕民俗文化名录、历史发展脉络、现实情况、产业发展程度、当代价值等，收集民俗文化图片、影像资料等，为西北地区乡村文化振兴提供数据支持、材料来源和理论依据。</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8" w:hRule="atLeast"/>
        </w:trPr>
        <w:tc>
          <w:tcPr>
            <w:tcW w:w="999" w:type="dxa"/>
            <w:vMerge w:val="continue"/>
            <w:vAlign w:val="center"/>
          </w:tcPr>
          <w:p>
            <w:pPr>
              <w:spacing w:line="360" w:lineRule="auto"/>
              <w:ind w:firstLine="560" w:firstLineChars="200"/>
              <w:jc w:val="center"/>
              <w:rPr>
                <w:rFonts w:hint="eastAsia" w:ascii="Times New Roman" w:hAnsi="Times New Roman" w:eastAsia="仿宋_GB2312" w:cs="Times New Roman"/>
                <w:kern w:val="0"/>
                <w:sz w:val="28"/>
                <w:szCs w:val="28"/>
                <w:lang w:val="en-US" w:eastAsia="zh-CN"/>
              </w:rPr>
            </w:pP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“高校思想政治工作监督”专项调研</w:t>
            </w:r>
          </w:p>
          <w:p>
            <w:pPr>
              <w:spacing w:line="360" w:lineRule="auto"/>
              <w:ind w:firstLine="560" w:firstLineChars="200"/>
              <w:jc w:val="center"/>
              <w:rPr>
                <w:rFonts w:hint="default" w:ascii="Times New Roman" w:hAnsi="Times New Roman" w:eastAsia="仿宋_GB2312" w:cs="Times New Roman"/>
                <w:kern w:val="0"/>
                <w:sz w:val="28"/>
                <w:szCs w:val="28"/>
                <w:lang w:val="en-US" w:eastAsia="zh-CN"/>
              </w:rPr>
            </w:pP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党的十八大以来，中央先后召开全国高校思想政治工作会议和全国教育大会，强调高校应贯彻党的教育方针，用新时代中国特色社会主义思想铸魂育人，努力培养担当民族复兴大任的时代新人。为进一步加强对高校意识形态阵地建设的研究，突出政治引领，强化政治监督，提升思政课教学质量，营造良好的学校政治生态，依托西北农林科技大学明廉学社开展高校思政工作监督现状专项调研。</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3" w:hRule="atLeast"/>
        </w:trPr>
        <w:tc>
          <w:tcPr>
            <w:tcW w:w="999" w:type="dxa"/>
            <w:vMerge w:val="continue"/>
            <w:vAlign w:val="center"/>
          </w:tcPr>
          <w:p>
            <w:pPr>
              <w:spacing w:line="360" w:lineRule="auto"/>
              <w:ind w:firstLine="560" w:firstLineChars="200"/>
              <w:jc w:val="center"/>
              <w:rPr>
                <w:rFonts w:hint="eastAsia" w:ascii="Times New Roman" w:hAnsi="Times New Roman" w:eastAsia="仿宋_GB2312" w:cs="Times New Roman"/>
                <w:kern w:val="0"/>
                <w:sz w:val="28"/>
                <w:szCs w:val="28"/>
                <w:lang w:val="en-US" w:eastAsia="zh-CN"/>
              </w:rPr>
            </w:pP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“突出产学研相结合，促进实践基地建设”专项活动</w:t>
            </w: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根据学校《创建“五个标杆”行动计划工作安排》及学校创建“五个标杆”行动计划启动会部署要求，打造校区融合青年先锋队，形成“大实践”育人格局。充分发挥学校产学研紧密结合和学科专业特色，围绕学校试验示范基地及野外台站、校内外实践教学基地、大学生社会实践基地、企业等基层一线开展考察、调研、体验、服务等形式的实践活动，了解基地运行情况及对周边社会经济发展的影响。</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63" w:hRule="atLeast"/>
        </w:trPr>
        <w:tc>
          <w:tcPr>
            <w:tcW w:w="999" w:type="dxa"/>
            <w:vMerge w:val="continue"/>
            <w:vAlign w:val="center"/>
          </w:tcPr>
          <w:p>
            <w:pPr>
              <w:spacing w:line="360" w:lineRule="auto"/>
              <w:ind w:firstLine="560" w:firstLineChars="200"/>
              <w:jc w:val="center"/>
              <w:rPr>
                <w:rFonts w:hint="eastAsia" w:ascii="Times New Roman" w:hAnsi="Times New Roman" w:eastAsia="仿宋_GB2312" w:cs="Times New Roman"/>
                <w:kern w:val="0"/>
                <w:sz w:val="28"/>
                <w:szCs w:val="28"/>
                <w:lang w:val="en-US" w:eastAsia="zh-CN"/>
              </w:rPr>
            </w:pP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“主题返乡调研”活动</w:t>
            </w: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根据马克思主义学院制定2018级学生思想政治理论课实践教学的实施方案及计划，围绕“抗击疫情，中国力量”主题，以实地走访、问卷调查、访谈、电话采访为主，以文献资料为辅，引导大学生直观地展现抗疫过程中党的领导、政府组织、社区治理工作的成效，先进人物及事迹、个人感悟，疫情期间复产复工、脱贫攻坚、全面建成小康社会的进展情况，培养大学生的使命和担当，增强“四个自信”。</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8" w:hRule="atLeast"/>
        </w:trPr>
        <w:tc>
          <w:tcPr>
            <w:tcW w:w="999" w:type="dxa"/>
            <w:vMerge w:val="continue"/>
            <w:vAlign w:val="center"/>
          </w:tcPr>
          <w:p>
            <w:pPr>
              <w:spacing w:line="360" w:lineRule="auto"/>
              <w:ind w:firstLine="560" w:firstLineChars="200"/>
              <w:jc w:val="center"/>
              <w:rPr>
                <w:rFonts w:hint="eastAsia" w:ascii="Times New Roman" w:hAnsi="Times New Roman" w:eastAsia="仿宋_GB2312" w:cs="Times New Roman"/>
                <w:kern w:val="0"/>
                <w:sz w:val="28"/>
                <w:szCs w:val="28"/>
                <w:lang w:val="en-US" w:eastAsia="zh-CN"/>
              </w:rPr>
            </w:pP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“传承红色基因 担当复兴重任”红色寻访</w:t>
            </w: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组织学生利用假期进行红色革命教育基地的实践活动，通过参观革命历史遗址、烈士纪念馆、历史博物馆、红色教育基地、爱国主义教育基地，走访老一辈的革命者，亲身体验红色年代革命根据地的生活环境、深入挖掘党的历史和故事、探访红色革命基地的现状，发掘和利用红色文化独特的价值功能，以十九大报告中继承革命文化为主线，广泛弘扬社会主义核心价值观和中华优秀传统文化。</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73" w:hRule="atLeast"/>
        </w:trPr>
        <w:tc>
          <w:tcPr>
            <w:tcW w:w="999" w:type="dxa"/>
            <w:vMerge w:val="continue"/>
            <w:vAlign w:val="center"/>
          </w:tcPr>
          <w:p>
            <w:pPr>
              <w:spacing w:line="360" w:lineRule="auto"/>
              <w:ind w:firstLine="560" w:firstLineChars="200"/>
              <w:jc w:val="center"/>
              <w:rPr>
                <w:rFonts w:hint="eastAsia" w:ascii="Times New Roman" w:hAnsi="Times New Roman" w:eastAsia="仿宋_GB2312" w:cs="Times New Roman"/>
                <w:kern w:val="0"/>
                <w:sz w:val="28"/>
                <w:szCs w:val="28"/>
                <w:lang w:val="en-US" w:eastAsia="zh-CN"/>
              </w:rPr>
            </w:pP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“构筑人类命运共同体”感知中国</w:t>
            </w: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深入学习贯彻习近平总书记在“一带一路”国际合作高峰论坛中的讲话精神，深入了解国家在“一带一路”基础设施互联互通、产业投资、资源开发、经贸合作、金融合作、人文交流、生态保护、海上合作等领域推进的重点项目与重要成果。组建留学生实践团队，开展感知中国实践活动，亲身感受中国发展现状。</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88" w:hRule="atLeast"/>
        </w:trPr>
        <w:tc>
          <w:tcPr>
            <w:tcW w:w="999" w:type="dxa"/>
            <w:vMerge w:val="continue"/>
            <w:vAlign w:val="center"/>
          </w:tcPr>
          <w:p>
            <w:pPr>
              <w:spacing w:line="360" w:lineRule="auto"/>
              <w:ind w:firstLine="560" w:firstLineChars="200"/>
              <w:jc w:val="center"/>
              <w:rPr>
                <w:rFonts w:hint="eastAsia" w:ascii="Times New Roman" w:hAnsi="Times New Roman" w:eastAsia="仿宋_GB2312" w:cs="Times New Roman"/>
                <w:kern w:val="0"/>
                <w:sz w:val="28"/>
                <w:szCs w:val="28"/>
                <w:lang w:val="en-US" w:eastAsia="zh-CN"/>
              </w:rPr>
            </w:pP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科学技术帮扶</w:t>
            </w:r>
          </w:p>
          <w:p>
            <w:pPr>
              <w:spacing w:line="360" w:lineRule="auto"/>
              <w:ind w:firstLine="560" w:firstLineChars="200"/>
              <w:jc w:val="center"/>
              <w:rPr>
                <w:rFonts w:hint="default" w:ascii="Times New Roman" w:hAnsi="Times New Roman" w:eastAsia="仿宋_GB2312" w:cs="Times New Roman"/>
                <w:kern w:val="0"/>
                <w:sz w:val="28"/>
                <w:szCs w:val="28"/>
                <w:lang w:val="en-US" w:eastAsia="zh-CN"/>
              </w:rPr>
            </w:pP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组织学生结合学科专业特点和社会需求，开展行业专业调研、科研攻关、科技服务、企业帮扶、法律普及、环境保护、社区援助等专业实践活动，将专业实践活动与专业学习相结合、与服务社会相结合、与创新创业相结合；积极倡导广大学生结合专业特色，发挥学科优势，开展各类专业实习、课程调研、项目攻关等实践活动，服务社会。</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18" w:hRule="atLeast"/>
        </w:trPr>
        <w:tc>
          <w:tcPr>
            <w:tcW w:w="999" w:type="dxa"/>
            <w:vMerge w:val="continue"/>
            <w:vAlign w:val="center"/>
          </w:tcPr>
          <w:p>
            <w:pPr>
              <w:spacing w:line="360" w:lineRule="auto"/>
              <w:ind w:firstLine="560" w:firstLineChars="200"/>
              <w:jc w:val="center"/>
              <w:rPr>
                <w:rFonts w:hint="eastAsia" w:ascii="Times New Roman" w:hAnsi="Times New Roman" w:eastAsia="仿宋_GB2312" w:cs="Times New Roman"/>
                <w:kern w:val="0"/>
                <w:sz w:val="28"/>
                <w:szCs w:val="28"/>
                <w:lang w:val="en-US" w:eastAsia="zh-CN"/>
              </w:rPr>
            </w:pP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创新创业实践</w:t>
            </w: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积极响应中央关于“大众创业、万众创新”的相关部署，深入开展学习考察、创业体验、创业实训、市场调研等活动；结合专业特点开展创新实践与就业见习活动。通过开展创新成果推广、企事业单位见习等活动，加深对专业的就业前景、发展趋势的了解，为就业打下坚实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38" w:hRule="atLeast"/>
        </w:trPr>
        <w:tc>
          <w:tcPr>
            <w:tcW w:w="999" w:type="dxa"/>
            <w:vMerge w:val="continue"/>
            <w:vAlign w:val="center"/>
          </w:tcPr>
          <w:p>
            <w:pPr>
              <w:spacing w:line="360" w:lineRule="auto"/>
              <w:ind w:firstLine="560" w:firstLineChars="200"/>
              <w:jc w:val="center"/>
              <w:rPr>
                <w:rFonts w:hint="eastAsia" w:ascii="Times New Roman" w:hAnsi="Times New Roman" w:eastAsia="仿宋_GB2312" w:cs="Times New Roman"/>
                <w:kern w:val="0"/>
                <w:sz w:val="28"/>
                <w:szCs w:val="28"/>
                <w:lang w:val="en-US" w:eastAsia="zh-CN"/>
              </w:rPr>
            </w:pP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疫情防控志愿服务助力</w:t>
            </w: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动员青年学生到社区（村）报到，依法科学有序参与基层联防联控工作；组织青年志愿者针对防控一线工作人员子女在线开展学习答疑、作业辅导、心理疏导等服务；利用微博、微信、抖音、B站等宣传阵地，提升舆论引导实效，宣传志愿者的先进典型和事迹，凝聚强大正能量。</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23" w:hRule="atLeast"/>
        </w:trPr>
        <w:tc>
          <w:tcPr>
            <w:tcW w:w="999" w:type="dxa"/>
            <w:vMerge w:val="continue"/>
            <w:vAlign w:val="center"/>
          </w:tcPr>
          <w:p>
            <w:pPr>
              <w:spacing w:line="360" w:lineRule="auto"/>
              <w:ind w:firstLine="560" w:firstLineChars="200"/>
              <w:jc w:val="center"/>
              <w:rPr>
                <w:rFonts w:hint="eastAsia" w:ascii="Times New Roman" w:hAnsi="Times New Roman" w:eastAsia="仿宋_GB2312" w:cs="Times New Roman"/>
                <w:kern w:val="0"/>
                <w:sz w:val="28"/>
                <w:szCs w:val="28"/>
                <w:lang w:val="en-US" w:eastAsia="zh-CN"/>
              </w:rPr>
            </w:pP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教育关爱服务</w:t>
            </w: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鼓励学生发挥自身特长，组建教育关爱服务团，到中西部地区基础教育薄弱、教育资源匮乏的贫困县（乡），协助当地教育部门开展学生培训，帮助当地优化教育资源、提升教学质量。同时，以关爱留守儿童为重点，组织大学生团队开展课业辅导、素质拓展、亲情陪伴等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3" w:hRule="atLeast"/>
        </w:trPr>
        <w:tc>
          <w:tcPr>
            <w:tcW w:w="999" w:type="dxa"/>
            <w:vMerge w:val="continue"/>
            <w:vAlign w:val="center"/>
          </w:tcPr>
          <w:p>
            <w:pPr>
              <w:spacing w:line="360" w:lineRule="auto"/>
              <w:ind w:firstLine="560" w:firstLineChars="200"/>
              <w:jc w:val="center"/>
              <w:rPr>
                <w:rFonts w:hint="eastAsia" w:ascii="Times New Roman" w:hAnsi="Times New Roman" w:eastAsia="仿宋_GB2312" w:cs="Times New Roman"/>
                <w:kern w:val="0"/>
                <w:sz w:val="28"/>
                <w:szCs w:val="28"/>
                <w:lang w:val="en-US" w:eastAsia="zh-CN"/>
              </w:rPr>
            </w:pP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文化艺术服务</w:t>
            </w:r>
          </w:p>
          <w:p>
            <w:pPr>
              <w:spacing w:line="360" w:lineRule="auto"/>
              <w:ind w:firstLine="560" w:firstLineChars="200"/>
              <w:jc w:val="center"/>
              <w:rPr>
                <w:rFonts w:hint="default" w:ascii="Times New Roman" w:hAnsi="Times New Roman" w:eastAsia="仿宋_GB2312" w:cs="Times New Roman"/>
                <w:kern w:val="0"/>
                <w:sz w:val="28"/>
                <w:szCs w:val="28"/>
                <w:lang w:val="en-US" w:eastAsia="zh-CN"/>
              </w:rPr>
            </w:pP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以弘扬时代精神、倡导文明新风为目标，以反映社会主义核心价值观为主要内容，精心编排基层群众喜闻乐见、贴近基层生活实际的文艺节目，到乡镇农村开展巡回演出。</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8" w:hRule="atLeast"/>
        </w:trPr>
        <w:tc>
          <w:tcPr>
            <w:tcW w:w="999" w:type="dxa"/>
            <w:vMerge w:val="continue"/>
            <w:vAlign w:val="center"/>
          </w:tcPr>
          <w:p>
            <w:pPr>
              <w:spacing w:line="360" w:lineRule="auto"/>
              <w:ind w:firstLine="560" w:firstLineChars="200"/>
              <w:jc w:val="center"/>
              <w:rPr>
                <w:rFonts w:hint="eastAsia" w:ascii="Times New Roman" w:hAnsi="Times New Roman" w:eastAsia="仿宋_GB2312" w:cs="Times New Roman"/>
                <w:kern w:val="0"/>
                <w:sz w:val="28"/>
                <w:szCs w:val="28"/>
                <w:lang w:val="en-US" w:eastAsia="zh-CN"/>
              </w:rPr>
            </w:pP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“推动百姓脱贫增收”活动</w:t>
            </w:r>
          </w:p>
          <w:p>
            <w:pPr>
              <w:spacing w:line="360" w:lineRule="auto"/>
              <w:ind w:firstLine="560" w:firstLineChars="200"/>
              <w:jc w:val="center"/>
              <w:rPr>
                <w:rFonts w:hint="default" w:ascii="Times New Roman" w:hAnsi="Times New Roman" w:eastAsia="仿宋_GB2312" w:cs="Times New Roman"/>
                <w:kern w:val="0"/>
                <w:sz w:val="28"/>
                <w:szCs w:val="28"/>
                <w:lang w:val="en-US" w:eastAsia="zh-CN"/>
              </w:rPr>
            </w:pP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在国家林业和草原国家创新联盟企业、重点扶贫林区草区种遴选出适合网络推广销售的产品100种，组织学生通过网络直播带货的方式，以产业力量推动百姓脱贫增收，助力受疫情影响的林草产业发展，获奖选手授予“全国林草行业网络扶贫大使”称号，并签约直播平台，成为国家林业和草原创新联盟认定网络主播，持续参与联盟内林草产品推广活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3" w:hRule="atLeast"/>
        </w:trPr>
        <w:tc>
          <w:tcPr>
            <w:tcW w:w="999" w:type="dxa"/>
            <w:vMerge w:val="continue"/>
            <w:vAlign w:val="center"/>
          </w:tcPr>
          <w:p>
            <w:pPr>
              <w:spacing w:line="360" w:lineRule="auto"/>
              <w:ind w:firstLine="560" w:firstLineChars="200"/>
              <w:jc w:val="center"/>
              <w:rPr>
                <w:rFonts w:hint="eastAsia" w:ascii="Times New Roman" w:hAnsi="Times New Roman" w:eastAsia="仿宋_GB2312" w:cs="Times New Roman"/>
                <w:kern w:val="0"/>
                <w:sz w:val="28"/>
                <w:szCs w:val="28"/>
                <w:lang w:val="en-US" w:eastAsia="zh-CN"/>
              </w:rPr>
            </w:pP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传统文化实践</w:t>
            </w: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依托学校传统文化教育特色活动成果，开展传统文化宣讲、展示、表演等活动，继承和发扬中国的传统文化；对中国风土人情、传统手工艺等传统文化进行实地考察，寻访当地传统文化的继承者，以照片、视频等方式记录传统文化的魅力，深入挖掘探讨传统文化的历史成就，以及在当代社会中所遇到的问题，向全社会倡导保护传统文化的理念。</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3" w:hRule="atLeast"/>
        </w:trPr>
        <w:tc>
          <w:tcPr>
            <w:tcW w:w="999" w:type="dxa"/>
            <w:vMerge w:val="continue"/>
            <w:vAlign w:val="center"/>
          </w:tcPr>
          <w:p>
            <w:pPr>
              <w:spacing w:line="360" w:lineRule="auto"/>
              <w:ind w:firstLine="560" w:firstLineChars="200"/>
              <w:jc w:val="center"/>
              <w:rPr>
                <w:rFonts w:hint="eastAsia" w:ascii="Times New Roman" w:hAnsi="Times New Roman" w:eastAsia="仿宋_GB2312" w:cs="Times New Roman"/>
                <w:kern w:val="0"/>
                <w:sz w:val="28"/>
                <w:szCs w:val="28"/>
                <w:lang w:val="en-US" w:eastAsia="zh-CN"/>
              </w:rPr>
            </w:pP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“寻访校友·传承西农精神”校友寻访</w:t>
            </w: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鼓励广大学生利用假期之际，积极走访各地校友，传递母校信息，聆听校友教诲，收集对学校的建议。通过对校友的采访，了解校友的求学以及工作经历，挖掘西农人不同时期、各个阶段的故事，汲取当中的宝贵经验，进一步挖掘和继承发扬“扎根杨凌、胸怀社稷；脚踏黄土、情系三农；甘于吃苦、追求卓越”的西农精神。</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13" w:hRule="atLeast"/>
        </w:trPr>
        <w:tc>
          <w:tcPr>
            <w:tcW w:w="999" w:type="dxa"/>
            <w:vMerge w:val="continue"/>
            <w:vAlign w:val="center"/>
          </w:tcPr>
          <w:p>
            <w:pPr>
              <w:spacing w:line="360" w:lineRule="auto"/>
              <w:ind w:firstLine="560" w:firstLineChars="200"/>
              <w:jc w:val="center"/>
              <w:rPr>
                <w:rFonts w:hint="eastAsia" w:ascii="Times New Roman" w:hAnsi="Times New Roman" w:eastAsia="仿宋_GB2312" w:cs="Times New Roman"/>
                <w:kern w:val="0"/>
                <w:sz w:val="28"/>
                <w:szCs w:val="28"/>
                <w:lang w:val="en-US" w:eastAsia="zh-CN"/>
              </w:rPr>
            </w:pP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“守护绿水青山”活动</w:t>
            </w: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在秦岭保护区根据各活动开展区域的实际需求确定，满足生态环境保护和农村社区经济可持续发展。用科技的力量和科学的数据给予农户实质性引导，为促进乡村产业兴旺做出贡献；通过线上线下调查、走访调研，重点针对乡村生态、乡村文化建设提出可行性的改进措施和方法建议；协助乡村推进农业品牌建设，以美丽乡村建设视角切入，从农村经济与农业产业、公共服务和基础配套设施等方面着力，为服务地实现治理有效、生活富裕的目标打下基础。</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98" w:hRule="atLeast"/>
        </w:trPr>
        <w:tc>
          <w:tcPr>
            <w:tcW w:w="999" w:type="dxa"/>
            <w:vMerge w:val="continue"/>
            <w:vAlign w:val="center"/>
          </w:tcPr>
          <w:p>
            <w:pPr>
              <w:spacing w:line="360" w:lineRule="auto"/>
              <w:ind w:firstLine="560" w:firstLineChars="200"/>
              <w:jc w:val="center"/>
              <w:rPr>
                <w:rFonts w:hint="eastAsia" w:ascii="Times New Roman" w:hAnsi="Times New Roman" w:eastAsia="仿宋_GB2312" w:cs="Times New Roman"/>
                <w:kern w:val="0"/>
                <w:sz w:val="28"/>
                <w:szCs w:val="28"/>
                <w:lang w:val="en-US" w:eastAsia="zh-CN"/>
              </w:rPr>
            </w:pP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其他选题</w:t>
            </w: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“不忘初心重走时代之路”宣讲团、“青春心向党、重温红色心”实践服务团、徒步考察渭河、延河、丹江、汉江等环保实践团、“博士团”暑期科技下乡专项、暑期政府见习实践团等。</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dxa"/>
            <w:vAlign w:val="center"/>
          </w:tcPr>
          <w:p>
            <w:pPr>
              <w:spacing w:line="360" w:lineRule="auto"/>
              <w:jc w:val="both"/>
              <w:rPr>
                <w:rFonts w:hint="default"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课</w:t>
            </w:r>
            <w:r>
              <w:rPr>
                <w:rFonts w:hint="eastAsia" w:ascii="Times New Roman" w:hAnsi="Times New Roman" w:eastAsia="仿宋_GB2312" w:cs="Times New Roman"/>
                <w:kern w:val="0"/>
                <w:sz w:val="28"/>
                <w:szCs w:val="28"/>
                <w:lang w:val="en-US" w:eastAsia="zh-CN"/>
              </w:rPr>
              <w:t xml:space="preserve">后测 </w:t>
            </w:r>
            <w:r>
              <w:rPr>
                <w:rFonts w:hint="eastAsia" w:ascii="Times New Roman" w:hAnsi="Times New Roman" w:eastAsia="仿宋_GB2312" w:cs="Times New Roman"/>
                <w:kern w:val="0"/>
                <w:sz w:val="28"/>
                <w:szCs w:val="28"/>
                <w:lang w:val="en-US" w:eastAsia="zh-CN"/>
              </w:rPr>
              <w:t>试</w:t>
            </w: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对社</w:t>
            </w:r>
            <w:r>
              <w:rPr>
                <w:rFonts w:hint="default" w:ascii="Times New Roman" w:hAnsi="Times New Roman" w:eastAsia="仿宋_GB2312" w:cs="Times New Roman"/>
                <w:kern w:val="0"/>
                <w:sz w:val="28"/>
                <w:szCs w:val="28"/>
                <w:lang w:val="en-US" w:eastAsia="zh-CN"/>
              </w:rPr>
              <w:t>会实践继续实施项</w:t>
            </w:r>
            <w:r>
              <w:rPr>
                <w:rFonts w:hint="default" w:ascii="Times New Roman" w:hAnsi="Times New Roman" w:eastAsia="仿宋_GB2312" w:cs="Times New Roman"/>
                <w:kern w:val="0"/>
                <w:sz w:val="28"/>
                <w:szCs w:val="28"/>
                <w:lang w:val="en-US" w:eastAsia="zh-CN"/>
              </w:rPr>
              <w:t>目化管理</w:t>
            </w: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各团队在活动结束后，撰写社会实践调研报告、实践论文或心得体会。其中，专项调研以团队立项，活动结束后需认真撰写活动总结（包括调研报告、实践总结、成员感想、照片、视频等材料），自主选题以个人立项，活动结束后提交个人调研报告或实践感想。</w:t>
            </w:r>
          </w:p>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dxa"/>
            <w:vAlign w:val="center"/>
          </w:tcPr>
          <w:p>
            <w:pPr>
              <w:spacing w:line="360" w:lineRule="auto"/>
              <w:jc w:val="both"/>
              <w:rPr>
                <w:rFonts w:hint="default"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课程小 结</w:t>
            </w:r>
          </w:p>
        </w:tc>
        <w:tc>
          <w:tcPr>
            <w:tcW w:w="2101" w:type="dxa"/>
            <w:vAlign w:val="center"/>
          </w:tcPr>
          <w:p>
            <w:pPr>
              <w:spacing w:line="360" w:lineRule="auto"/>
              <w:jc w:val="both"/>
              <w:rPr>
                <w:rFonts w:hint="eastAsia" w:ascii="Times New Roman" w:hAnsi="Times New Roman" w:eastAsia="仿宋_GB2312" w:cs="Times New Roman"/>
                <w:kern w:val="0"/>
                <w:sz w:val="28"/>
                <w:szCs w:val="28"/>
                <w:lang w:val="en-US" w:eastAsia="zh-CN"/>
              </w:rPr>
            </w:pPr>
          </w:p>
          <w:p>
            <w:pPr>
              <w:spacing w:line="360" w:lineRule="auto"/>
              <w:jc w:val="both"/>
              <w:rPr>
                <w:rFonts w:hint="default"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打造育人平台和科技助农双赢的“西农模式”</w:t>
            </w: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实践育人工作在探索中形成和积累了“西农经验”，促使大学生社会实践活动转变为教育教学系统的“一门课程”，切实增强实践育人的政治性、针对性和实效性。《人民日报》《光明日报》《中国青年报》、新华社等中省主流媒体累计专题报道300余次，产生了广泛的社会影响。《</w:t>
            </w:r>
            <w:bookmarkStart w:id="0" w:name="_Toc33864214"/>
            <w:bookmarkStart w:id="1" w:name="_Toc32073735"/>
            <w:bookmarkStart w:id="2" w:name="_Toc32073381"/>
            <w:r>
              <w:rPr>
                <w:rFonts w:hint="default" w:ascii="Times New Roman" w:hAnsi="Times New Roman" w:eastAsia="仿宋_GB2312" w:cs="Times New Roman"/>
                <w:kern w:val="0"/>
                <w:sz w:val="28"/>
                <w:szCs w:val="28"/>
                <w:lang w:val="en-US" w:eastAsia="zh-CN"/>
              </w:rPr>
              <w:t>发挥学科优势助力脱贫攻坚 实现育人扶贫双赢</w:t>
            </w:r>
            <w:bookmarkEnd w:id="0"/>
            <w:bookmarkEnd w:id="1"/>
            <w:bookmarkEnd w:id="2"/>
            <w:r>
              <w:rPr>
                <w:rFonts w:hint="default" w:ascii="Times New Roman" w:hAnsi="Times New Roman" w:eastAsia="仿宋_GB2312" w:cs="Times New Roman"/>
                <w:kern w:val="0"/>
                <w:sz w:val="28"/>
                <w:szCs w:val="28"/>
                <w:lang w:val="en-US" w:eastAsia="zh-CN"/>
              </w:rPr>
              <w:t>》入选团中央《共青团扶贫实践20例》，团中央国际联络部向全球青年讲述我校大学生志愿扶贫故事，特色案例《“感知中国—乡村振兴”社会实践与文化体验活动探索撷英》入选《2019年全国来华留学年度报告》，《西农留学生授业秦巴山区助力中国乡村振兴》被新华社作为内参报送，《乡村振兴的青年实践——西北农林科技大学师生乡村调查的思索》由中国青年出版社出版，该书入选《习近平新时代中国特色社会主义思想青年实践读本》。所撰写的调研报告得到国务院扶贫办、陕西省委、政协的高度认可。</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9" w:type="dxa"/>
            <w:vAlign w:val="center"/>
          </w:tcPr>
          <w:p>
            <w:pPr>
              <w:spacing w:line="360" w:lineRule="auto"/>
              <w:jc w:val="both"/>
              <w:rPr>
                <w:rFonts w:hint="default"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课后扩 展</w:t>
            </w:r>
          </w:p>
        </w:tc>
        <w:tc>
          <w:tcPr>
            <w:tcW w:w="2101" w:type="dxa"/>
            <w:vAlign w:val="center"/>
          </w:tcPr>
          <w:p>
            <w:pPr>
              <w:spacing w:line="360" w:lineRule="auto"/>
              <w:jc w:val="both"/>
              <w:rPr>
                <w:rFonts w:hint="default" w:ascii="Times New Roman" w:hAnsi="Times New Roman" w:eastAsia="仿宋_GB2312" w:cs="Times New Roman"/>
                <w:kern w:val="0"/>
                <w:sz w:val="28"/>
                <w:szCs w:val="28"/>
                <w:lang w:val="en-US" w:eastAsia="zh-CN"/>
              </w:rPr>
            </w:pPr>
            <w:r>
              <w:rPr>
                <w:rFonts w:hint="eastAsia" w:ascii="Times New Roman" w:hAnsi="Times New Roman" w:eastAsia="仿宋_GB2312" w:cs="Times New Roman"/>
                <w:kern w:val="0"/>
                <w:sz w:val="28"/>
                <w:szCs w:val="28"/>
                <w:lang w:val="en-US" w:eastAsia="zh-CN"/>
              </w:rPr>
              <w:t>“青春报告祖国”实践交流</w:t>
            </w:r>
          </w:p>
        </w:tc>
        <w:tc>
          <w:tcPr>
            <w:tcW w:w="5422" w:type="dxa"/>
            <w:vAlign w:val="center"/>
          </w:tcPr>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将举行社会实践工作总结会，交流经验、展览实践成果、编辑优秀论文集等。</w:t>
            </w:r>
          </w:p>
        </w:tc>
      </w:tr>
    </w:tbl>
    <w:p>
      <w:pPr>
        <w:numPr>
          <w:ilvl w:val="0"/>
          <w:numId w:val="0"/>
        </w:numPr>
        <w:spacing w:line="360" w:lineRule="auto"/>
        <w:rPr>
          <w:rFonts w:hint="eastAsia" w:ascii="Times New Roman" w:hAnsi="Times New Roman" w:eastAsia="仿宋_GB2312" w:cs="Times New Roman"/>
          <w:b/>
          <w:bCs/>
          <w:kern w:val="0"/>
          <w:sz w:val="32"/>
          <w:szCs w:val="32"/>
          <w:lang w:val="en-US" w:eastAsia="zh-CN"/>
        </w:rPr>
      </w:pPr>
      <w:r>
        <w:rPr>
          <w:rFonts w:hint="eastAsia" w:ascii="Times New Roman" w:hAnsi="Times New Roman" w:eastAsia="仿宋_GB2312" w:cs="Times New Roman"/>
          <w:b/>
          <w:bCs/>
          <w:kern w:val="0"/>
          <w:sz w:val="32"/>
          <w:szCs w:val="32"/>
          <w:lang w:val="en-US" w:eastAsia="zh-CN"/>
        </w:rPr>
        <w:t>【教学总结】</w:t>
      </w:r>
    </w:p>
    <w:p>
      <w:pPr>
        <w:spacing w:line="360" w:lineRule="auto"/>
        <w:ind w:firstLine="560" w:firstLineChars="200"/>
        <w:jc w:val="left"/>
        <w:rPr>
          <w:rFonts w:hint="default" w:ascii="Times New Roman" w:hAnsi="Times New Roman" w:eastAsia="仿宋_GB2312" w:cs="Times New Roman"/>
          <w:kern w:val="0"/>
          <w:sz w:val="28"/>
          <w:szCs w:val="28"/>
          <w:lang w:val="en-US" w:eastAsia="zh-CN"/>
        </w:rPr>
      </w:pPr>
      <w:r>
        <w:rPr>
          <w:rFonts w:hint="default" w:ascii="Times New Roman" w:hAnsi="Times New Roman" w:eastAsia="仿宋_GB2312" w:cs="Times New Roman"/>
          <w:kern w:val="0"/>
          <w:sz w:val="28"/>
          <w:szCs w:val="28"/>
          <w:lang w:val="en-US" w:eastAsia="zh-CN"/>
        </w:rPr>
        <w:t>2020年暑期社会实践活动以“担当强农兴农使命  培养知农爱农人才”为主题，以项目化带动为原则。因为疫情的特殊原因，今年的社会实践活动采取分散活动与集中组队相结合、线上与线下相结合、学校专项选题和学生自主选题相结合的形式。最终组建242支社会实践服务团队，6383人采取分散形式开展活动。8800余名师生分赴北京、内蒙古、宁夏、青海、甘肃、陕西、四川、重庆、贵州、云南、山西、河北、山东、河南、安徽、江苏等20多个地（市），开展科技支农、文化宣传、教育帮扶、环境保护等实践服务。</w:t>
      </w:r>
      <w:r>
        <w:rPr>
          <w:rFonts w:hint="eastAsia" w:ascii="Times New Roman" w:hAnsi="Times New Roman" w:eastAsia="仿宋_GB2312" w:cs="Times New Roman"/>
          <w:kern w:val="0"/>
          <w:sz w:val="28"/>
          <w:szCs w:val="28"/>
          <w:lang w:val="en-US" w:eastAsia="zh-CN"/>
        </w:rPr>
        <w:t>呈现以下特点：</w:t>
      </w:r>
      <w:r>
        <w:rPr>
          <w:rFonts w:hint="default" w:ascii="Times New Roman" w:hAnsi="Times New Roman" w:eastAsia="仿宋_GB2312" w:cs="Times New Roman"/>
          <w:kern w:val="0"/>
          <w:sz w:val="28"/>
          <w:szCs w:val="28"/>
          <w:lang w:val="en-US" w:eastAsia="zh-CN"/>
        </w:rPr>
        <w:t>一是进一步贯彻落实全国高校思政会议和全国教育大会精神精神，把立德树人贯穿学生实践的全过程；二是围绕国家“乡村振兴”战略，组织学生深入农村基层，实地开展社会调查与服务活动；三是开展青春助力脱贫攻坚，将贫困县区作为我校大学生助力脱贫攻坚战略的基层第一线；四是开展“青年红色筑梦之旅”专项活动，立足红色传承、实际需求、强国建设；五是开展黄河流域生态保护与农业农村高质量发展专项活动，实现本科、硕士、博士跨学科、跨专业、跨年级联动，为实现黄流流域生态环境保护和农村经济可持续发展贡献青年力量；六是开展“对口支援西部地区高等学校计划”专项活动，赴青海大学、新疆农业大学、石河子大学、西藏农牧学院等校联合开展实践活动，在学科建设、科学研究、学术交流等方面不断加强合作、优势互补，共同发展。</w:t>
      </w:r>
    </w:p>
    <w:p>
      <w:pPr>
        <w:numPr>
          <w:ilvl w:val="0"/>
          <w:numId w:val="0"/>
        </w:numPr>
        <w:spacing w:line="360" w:lineRule="auto"/>
        <w:rPr>
          <w:rFonts w:hint="default"/>
          <w:sz w:val="24"/>
          <w:szCs w:val="24"/>
          <w:lang w:val="en-US" w:eastAsia="zh-CN"/>
        </w:rPr>
      </w:pPr>
    </w:p>
    <w:p>
      <w:pPr>
        <w:numPr>
          <w:ilvl w:val="0"/>
          <w:numId w:val="0"/>
        </w:numPr>
        <w:spacing w:line="360" w:lineRule="auto"/>
        <w:rPr>
          <w:rFonts w:hint="default"/>
          <w:sz w:val="24"/>
          <w:szCs w:val="24"/>
          <w:lang w:val="en-US" w:eastAsia="zh-CN"/>
        </w:rPr>
      </w:pPr>
    </w:p>
    <w:p>
      <w:pPr>
        <w:keepNext/>
        <w:keepLines/>
        <w:widowControl w:val="0"/>
        <w:spacing w:before="260" w:after="260" w:line="413" w:lineRule="auto"/>
        <w:jc w:val="both"/>
        <w:outlineLvl w:val="1"/>
        <w:rPr>
          <w:rFonts w:ascii="Arial" w:hAnsi="Arial" w:eastAsia="仿宋" w:cs="Times New Roman"/>
          <w:b/>
          <w:kern w:val="2"/>
          <w:sz w:val="36"/>
          <w:szCs w:val="24"/>
          <w:lang w:val="en-US" w:eastAsia="zh-CN" w:bidi="ar-SA"/>
        </w:rPr>
      </w:pPr>
      <w:bookmarkStart w:id="3" w:name="_Toc19122803"/>
      <w:r>
        <w:rPr>
          <w:rFonts w:hint="eastAsia" w:ascii="Arial" w:hAnsi="Arial" w:eastAsia="仿宋" w:cs="Times New Roman"/>
          <w:b/>
          <w:kern w:val="2"/>
          <w:sz w:val="36"/>
          <w:szCs w:val="24"/>
          <w:lang w:val="en-US" w:eastAsia="zh-CN" w:bidi="ar-SA"/>
        </w:rPr>
        <w:t>典型活动的照片</w:t>
      </w:r>
      <w:bookmarkEnd w:id="3"/>
    </w:p>
    <w:p>
      <w:pPr>
        <w:autoSpaceDE w:val="0"/>
        <w:ind w:left="-1" w:leftChars="-200" w:right="-313" w:rightChars="-149" w:hanging="419" w:hangingChars="233"/>
        <w:rPr>
          <w:rFonts w:ascii="仿宋_GB2312" w:hAnsi="仿宋" w:eastAsia="仿宋_GB2312" w:cs="Times New Roman"/>
          <w:sz w:val="18"/>
          <w:szCs w:val="18"/>
        </w:rPr>
      </w:pPr>
      <w:r>
        <w:rPr>
          <w:rFonts w:ascii="仿宋_GB2312" w:hAnsi="仿宋" w:eastAsia="仿宋_GB2312" w:cs="Times New Roman"/>
          <w:sz w:val="18"/>
          <w:szCs w:val="18"/>
        </w:rPr>
        <w:drawing>
          <wp:inline distT="0" distB="0" distL="0" distR="0">
            <wp:extent cx="2804160" cy="2066290"/>
            <wp:effectExtent l="0" t="0" r="15240" b="10160"/>
            <wp:docPr id="36" name="图片 36"/>
            <wp:cNvGraphicFramePr/>
            <a:graphic xmlns:a="http://schemas.openxmlformats.org/drawingml/2006/main">
              <a:graphicData uri="http://schemas.openxmlformats.org/drawingml/2006/picture">
                <pic:pic xmlns:pic="http://schemas.openxmlformats.org/drawingml/2006/picture">
                  <pic:nvPicPr>
                    <pic:cNvPr id="36" name="图片 36"/>
                    <pic:cNvPicPr/>
                  </pic:nvPicPr>
                  <pic:blipFill>
                    <a:blip r:embed="rId4" cstate="print">
                      <a:extLst>
                        <a:ext uri="{28A0092B-C50C-407E-A947-70E740481C1C}">
                          <a14:useLocalDpi xmlns:a14="http://schemas.microsoft.com/office/drawing/2010/main" val="0"/>
                        </a:ext>
                      </a:extLst>
                    </a:blip>
                    <a:stretch>
                      <a:fillRect/>
                    </a:stretch>
                  </pic:blipFill>
                  <pic:spPr>
                    <a:xfrm>
                      <a:off x="0" y="0"/>
                      <a:ext cx="2804400" cy="2066400"/>
                    </a:xfrm>
                    <a:prstGeom prst="rect">
                      <a:avLst/>
                    </a:prstGeom>
                  </pic:spPr>
                </pic:pic>
              </a:graphicData>
            </a:graphic>
          </wp:inline>
        </w:drawing>
      </w:r>
      <w:r>
        <w:rPr>
          <w:rFonts w:hint="eastAsia" w:ascii="仿宋_GB2312" w:hAnsi="仿宋" w:eastAsia="仿宋_GB2312" w:cs="Times New Roman"/>
          <w:sz w:val="18"/>
          <w:szCs w:val="18"/>
        </w:rPr>
        <w:drawing>
          <wp:inline distT="0" distB="0" distL="0" distR="0">
            <wp:extent cx="2804160" cy="2066290"/>
            <wp:effectExtent l="0" t="0" r="15240" b="10160"/>
            <wp:docPr id="37" name="图片 37"/>
            <wp:cNvGraphicFramePr/>
            <a:graphic xmlns:a="http://schemas.openxmlformats.org/drawingml/2006/main">
              <a:graphicData uri="http://schemas.openxmlformats.org/drawingml/2006/picture">
                <pic:pic xmlns:pic="http://schemas.openxmlformats.org/drawingml/2006/picture">
                  <pic:nvPicPr>
                    <pic:cNvPr id="37" name="图片 37"/>
                    <pic:cNvPicPr/>
                  </pic:nvPicPr>
                  <pic:blipFill>
                    <a:blip r:embed="rId5" cstate="print">
                      <a:extLst>
                        <a:ext uri="{28A0092B-C50C-407E-A947-70E740481C1C}">
                          <a14:useLocalDpi xmlns:a14="http://schemas.microsoft.com/office/drawing/2010/main" val="0"/>
                        </a:ext>
                      </a:extLst>
                    </a:blip>
                    <a:stretch>
                      <a:fillRect/>
                    </a:stretch>
                  </pic:blipFill>
                  <pic:spPr>
                    <a:xfrm>
                      <a:off x="0" y="0"/>
                      <a:ext cx="2804400" cy="2066400"/>
                    </a:xfrm>
                    <a:prstGeom prst="rect">
                      <a:avLst/>
                    </a:prstGeom>
                  </pic:spPr>
                </pic:pic>
              </a:graphicData>
            </a:graphic>
          </wp:inline>
        </w:drawing>
      </w:r>
    </w:p>
    <w:p>
      <w:pPr>
        <w:autoSpaceDE w:val="0"/>
        <w:jc w:val="center"/>
        <w:rPr>
          <w:rFonts w:ascii="仿宋_GB2312" w:hAnsi="仿宋" w:eastAsia="仿宋_GB2312" w:cs="Times New Roman"/>
          <w:sz w:val="18"/>
          <w:szCs w:val="18"/>
        </w:rPr>
      </w:pPr>
      <w:r>
        <w:rPr>
          <w:rFonts w:hint="eastAsia" w:ascii="仿宋_GB2312" w:hAnsi="仿宋" w:eastAsia="仿宋_GB2312" w:cs="Times New Roman"/>
          <w:sz w:val="18"/>
          <w:szCs w:val="18"/>
        </w:rPr>
        <w:t>支教合影                                调研团成员与小朋友们做游戏</w:t>
      </w:r>
    </w:p>
    <w:p>
      <w:pPr>
        <w:autoSpaceDE w:val="0"/>
        <w:ind w:left="-420" w:leftChars="-200" w:right="-313" w:rightChars="-149" w:firstLine="0" w:firstLineChars="0"/>
        <w:rPr>
          <w:rFonts w:ascii="仿宋_GB2312" w:hAnsi="仿宋" w:eastAsia="仿宋_GB2312" w:cs="Times New Roman"/>
          <w:sz w:val="18"/>
          <w:szCs w:val="18"/>
        </w:rPr>
      </w:pPr>
      <w:r>
        <w:rPr>
          <w:rFonts w:ascii="仿宋_GB2312" w:hAnsi="仿宋" w:eastAsia="仿宋_GB2312" w:cs="Times New Roman"/>
          <w:sz w:val="18"/>
          <w:szCs w:val="18"/>
        </w:rPr>
        <w:drawing>
          <wp:inline distT="0" distB="0" distL="0" distR="0">
            <wp:extent cx="2804160" cy="2066290"/>
            <wp:effectExtent l="0" t="0" r="15240" b="10160"/>
            <wp:docPr id="38" name="图片 38"/>
            <wp:cNvGraphicFramePr/>
            <a:graphic xmlns:a="http://schemas.openxmlformats.org/drawingml/2006/main">
              <a:graphicData uri="http://schemas.openxmlformats.org/drawingml/2006/picture">
                <pic:pic xmlns:pic="http://schemas.openxmlformats.org/drawingml/2006/picture">
                  <pic:nvPicPr>
                    <pic:cNvPr id="38" name="图片 38"/>
                    <pic:cNvPicPr/>
                  </pic:nvPicPr>
                  <pic:blipFill>
                    <a:blip r:embed="rId6" cstate="print">
                      <a:extLst>
                        <a:ext uri="{28A0092B-C50C-407E-A947-70E740481C1C}">
                          <a14:useLocalDpi xmlns:a14="http://schemas.microsoft.com/office/drawing/2010/main" val="0"/>
                        </a:ext>
                      </a:extLst>
                    </a:blip>
                    <a:stretch>
                      <a:fillRect/>
                    </a:stretch>
                  </pic:blipFill>
                  <pic:spPr>
                    <a:xfrm>
                      <a:off x="0" y="0"/>
                      <a:ext cx="2804400" cy="2066400"/>
                    </a:xfrm>
                    <a:prstGeom prst="rect">
                      <a:avLst/>
                    </a:prstGeom>
                  </pic:spPr>
                </pic:pic>
              </a:graphicData>
            </a:graphic>
          </wp:inline>
        </w:drawing>
      </w:r>
      <w:r>
        <w:rPr>
          <w:rFonts w:hint="eastAsia" w:ascii="仿宋_GB2312" w:hAnsi="仿宋" w:eastAsia="仿宋_GB2312" w:cs="Times New Roman"/>
          <w:sz w:val="18"/>
          <w:szCs w:val="18"/>
        </w:rPr>
        <w:drawing>
          <wp:inline distT="0" distB="0" distL="0" distR="0">
            <wp:extent cx="2804160" cy="2066290"/>
            <wp:effectExtent l="0" t="0" r="15240" b="10160"/>
            <wp:docPr id="39" name="图片 39"/>
            <wp:cNvGraphicFramePr/>
            <a:graphic xmlns:a="http://schemas.openxmlformats.org/drawingml/2006/main">
              <a:graphicData uri="http://schemas.openxmlformats.org/drawingml/2006/picture">
                <pic:pic xmlns:pic="http://schemas.openxmlformats.org/drawingml/2006/picture">
                  <pic:nvPicPr>
                    <pic:cNvPr id="39" name="图片 39"/>
                    <pic:cNvPicPr/>
                  </pic:nvPicPr>
                  <pic:blipFill>
                    <a:blip r:embed="rId7" cstate="print">
                      <a:extLst>
                        <a:ext uri="{28A0092B-C50C-407E-A947-70E740481C1C}">
                          <a14:useLocalDpi xmlns:a14="http://schemas.microsoft.com/office/drawing/2010/main" val="0"/>
                        </a:ext>
                      </a:extLst>
                    </a:blip>
                    <a:stretch>
                      <a:fillRect/>
                    </a:stretch>
                  </pic:blipFill>
                  <pic:spPr>
                    <a:xfrm>
                      <a:off x="0" y="0"/>
                      <a:ext cx="2804400" cy="2066400"/>
                    </a:xfrm>
                    <a:prstGeom prst="rect">
                      <a:avLst/>
                    </a:prstGeom>
                  </pic:spPr>
                </pic:pic>
              </a:graphicData>
            </a:graphic>
          </wp:inline>
        </w:drawing>
      </w:r>
    </w:p>
    <w:p>
      <w:pPr>
        <w:autoSpaceDE w:val="0"/>
        <w:ind w:firstLine="720" w:firstLineChars="400"/>
        <w:rPr>
          <w:rFonts w:ascii="仿宋_GB2312" w:hAnsi="仿宋" w:eastAsia="仿宋_GB2312" w:cs="Times New Roman"/>
          <w:sz w:val="18"/>
          <w:szCs w:val="18"/>
        </w:rPr>
      </w:pPr>
      <w:r>
        <w:rPr>
          <w:rFonts w:hint="eastAsia" w:ascii="仿宋_GB2312" w:hAnsi="仿宋" w:eastAsia="仿宋_GB2312" w:cs="Times New Roman"/>
          <w:sz w:val="18"/>
          <w:szCs w:val="18"/>
        </w:rPr>
        <w:t>与纸塑窗花老艺人合照                              在宝实酒庄进行品鉴</w:t>
      </w:r>
    </w:p>
    <w:p>
      <w:pPr>
        <w:autoSpaceDE w:val="0"/>
        <w:ind w:left="-1" w:leftChars="-200" w:right="-313" w:rightChars="-149" w:hanging="419" w:hangingChars="233"/>
        <w:rPr>
          <w:rFonts w:ascii="仿宋_GB2312" w:hAnsi="仿宋" w:eastAsia="仿宋_GB2312" w:cs="Times New Roman"/>
          <w:sz w:val="18"/>
          <w:szCs w:val="18"/>
        </w:rPr>
      </w:pPr>
      <w:r>
        <w:rPr>
          <w:rFonts w:ascii="仿宋_GB2312" w:hAnsi="仿宋" w:eastAsia="仿宋_GB2312" w:cs="Times New Roman"/>
          <w:sz w:val="18"/>
          <w:szCs w:val="18"/>
        </w:rPr>
        <w:drawing>
          <wp:inline distT="0" distB="0" distL="0" distR="0">
            <wp:extent cx="2804160" cy="2066290"/>
            <wp:effectExtent l="0" t="0" r="15240" b="10160"/>
            <wp:docPr id="40" name="图片 40"/>
            <wp:cNvGraphicFramePr/>
            <a:graphic xmlns:a="http://schemas.openxmlformats.org/drawingml/2006/main">
              <a:graphicData uri="http://schemas.openxmlformats.org/drawingml/2006/picture">
                <pic:pic xmlns:pic="http://schemas.openxmlformats.org/drawingml/2006/picture">
                  <pic:nvPicPr>
                    <pic:cNvPr id="40" name="图片 40"/>
                    <pic:cNvPicPr/>
                  </pic:nvPicPr>
                  <pic:blipFill>
                    <a:blip r:embed="rId8" cstate="print">
                      <a:extLst>
                        <a:ext uri="{28A0092B-C50C-407E-A947-70E740481C1C}">
                          <a14:useLocalDpi xmlns:a14="http://schemas.microsoft.com/office/drawing/2010/main" val="0"/>
                        </a:ext>
                      </a:extLst>
                    </a:blip>
                    <a:stretch>
                      <a:fillRect/>
                    </a:stretch>
                  </pic:blipFill>
                  <pic:spPr>
                    <a:xfrm>
                      <a:off x="0" y="0"/>
                      <a:ext cx="2804400" cy="2066400"/>
                    </a:xfrm>
                    <a:prstGeom prst="rect">
                      <a:avLst/>
                    </a:prstGeom>
                  </pic:spPr>
                </pic:pic>
              </a:graphicData>
            </a:graphic>
          </wp:inline>
        </w:drawing>
      </w:r>
      <w:r>
        <w:rPr>
          <w:rFonts w:hint="eastAsia" w:ascii="仿宋_GB2312" w:hAnsi="仿宋" w:eastAsia="仿宋_GB2312" w:cs="Times New Roman"/>
          <w:sz w:val="18"/>
          <w:szCs w:val="18"/>
        </w:rPr>
        <w:drawing>
          <wp:inline distT="0" distB="0" distL="0" distR="0">
            <wp:extent cx="2804160" cy="2066290"/>
            <wp:effectExtent l="0" t="0" r="15240" b="10160"/>
            <wp:docPr id="41" name="图片 41"/>
            <wp:cNvGraphicFramePr/>
            <a:graphic xmlns:a="http://schemas.openxmlformats.org/drawingml/2006/main">
              <a:graphicData uri="http://schemas.openxmlformats.org/drawingml/2006/picture">
                <pic:pic xmlns:pic="http://schemas.openxmlformats.org/drawingml/2006/picture">
                  <pic:nvPicPr>
                    <pic:cNvPr id="41" name="图片 4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04400" cy="2066400"/>
                    </a:xfrm>
                    <a:prstGeom prst="rect">
                      <a:avLst/>
                    </a:prstGeom>
                  </pic:spPr>
                </pic:pic>
              </a:graphicData>
            </a:graphic>
          </wp:inline>
        </w:drawing>
      </w:r>
    </w:p>
    <w:p>
      <w:pPr>
        <w:autoSpaceDE w:val="0"/>
        <w:ind w:firstLine="900" w:firstLineChars="500"/>
        <w:rPr>
          <w:rFonts w:ascii="仿宋_GB2312" w:hAnsi="仿宋" w:eastAsia="仿宋_GB2312" w:cs="Times New Roman"/>
          <w:sz w:val="18"/>
          <w:szCs w:val="18"/>
        </w:rPr>
      </w:pPr>
      <w:r>
        <w:rPr>
          <w:rFonts w:hint="eastAsia" w:ascii="仿宋_GB2312" w:hAnsi="仿宋" w:eastAsia="仿宋_GB2312" w:cs="Times New Roman"/>
          <w:sz w:val="18"/>
          <w:szCs w:val="18"/>
        </w:rPr>
        <w:t>队员与老兵们合影                                  老兵向调研团成员作介绍</w:t>
      </w:r>
    </w:p>
    <w:p>
      <w:pPr>
        <w:autoSpaceDE w:val="0"/>
        <w:ind w:left="-1" w:leftChars="-200" w:right="-512" w:rightChars="-244" w:hanging="419" w:hangingChars="233"/>
        <w:rPr>
          <w:rFonts w:ascii="仿宋_GB2312" w:hAnsi="仿宋" w:eastAsia="仿宋_GB2312" w:cs="Times New Roman"/>
          <w:sz w:val="18"/>
          <w:szCs w:val="18"/>
        </w:rPr>
      </w:pPr>
      <w:r>
        <w:rPr>
          <w:rFonts w:ascii="仿宋_GB2312" w:hAnsi="仿宋" w:eastAsia="仿宋_GB2312" w:cs="Times New Roman"/>
          <w:sz w:val="18"/>
          <w:szCs w:val="18"/>
        </w:rPr>
        <w:drawing>
          <wp:inline distT="0" distB="0" distL="0" distR="0">
            <wp:extent cx="2804160" cy="2066290"/>
            <wp:effectExtent l="0" t="0" r="15240" b="10160"/>
            <wp:docPr id="42" name="图片 42"/>
            <wp:cNvGraphicFramePr/>
            <a:graphic xmlns:a="http://schemas.openxmlformats.org/drawingml/2006/main">
              <a:graphicData uri="http://schemas.openxmlformats.org/drawingml/2006/picture">
                <pic:pic xmlns:pic="http://schemas.openxmlformats.org/drawingml/2006/picture">
                  <pic:nvPicPr>
                    <pic:cNvPr id="42" name="图片 42"/>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804400" cy="2066400"/>
                    </a:xfrm>
                    <a:prstGeom prst="rect">
                      <a:avLst/>
                    </a:prstGeom>
                  </pic:spPr>
                </pic:pic>
              </a:graphicData>
            </a:graphic>
          </wp:inline>
        </w:drawing>
      </w:r>
      <w:r>
        <w:rPr>
          <w:rFonts w:hint="eastAsia" w:ascii="仿宋_GB2312" w:hAnsi="仿宋" w:eastAsia="仿宋_GB2312" w:cs="Times New Roman"/>
          <w:sz w:val="18"/>
          <w:szCs w:val="18"/>
        </w:rPr>
        <w:drawing>
          <wp:inline distT="0" distB="0" distL="0" distR="0">
            <wp:extent cx="2804160" cy="2066290"/>
            <wp:effectExtent l="0" t="0" r="15240" b="10160"/>
            <wp:docPr id="43" name="图片 43"/>
            <wp:cNvGraphicFramePr/>
            <a:graphic xmlns:a="http://schemas.openxmlformats.org/drawingml/2006/main">
              <a:graphicData uri="http://schemas.openxmlformats.org/drawingml/2006/picture">
                <pic:pic xmlns:pic="http://schemas.openxmlformats.org/drawingml/2006/picture">
                  <pic:nvPicPr>
                    <pic:cNvPr id="43" name="图片 43"/>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04400" cy="2066400"/>
                    </a:xfrm>
                    <a:prstGeom prst="rect">
                      <a:avLst/>
                    </a:prstGeom>
                  </pic:spPr>
                </pic:pic>
              </a:graphicData>
            </a:graphic>
          </wp:inline>
        </w:drawing>
      </w:r>
    </w:p>
    <w:p>
      <w:pPr>
        <w:autoSpaceDE w:val="0"/>
        <w:rPr>
          <w:rFonts w:ascii="仿宋_GB2312" w:hAnsi="仿宋" w:eastAsia="仿宋_GB2312" w:cs="Times New Roman"/>
          <w:sz w:val="18"/>
          <w:szCs w:val="18"/>
        </w:rPr>
      </w:pPr>
      <w:r>
        <w:rPr>
          <w:rFonts w:hint="eastAsia" w:ascii="仿宋_GB2312" w:hAnsi="仿宋" w:eastAsia="仿宋_GB2312" w:cs="Times New Roman"/>
          <w:sz w:val="18"/>
          <w:szCs w:val="18"/>
        </w:rPr>
        <w:t xml:space="preserve">   赴乌兰布和沙漠调研服务团循环水养鱼参观           赴福州产品销售渠道调研队  参观鲍鱼养殖厂</w:t>
      </w:r>
    </w:p>
    <w:p>
      <w:pPr>
        <w:autoSpaceDE w:val="0"/>
        <w:rPr>
          <w:rFonts w:ascii="仿宋_GB2312" w:hAnsi="仿宋" w:eastAsia="仿宋_GB2312" w:cs="Times New Roman"/>
          <w:sz w:val="18"/>
          <w:szCs w:val="18"/>
        </w:rPr>
      </w:pPr>
    </w:p>
    <w:p>
      <w:pPr>
        <w:autoSpaceDE w:val="0"/>
        <w:ind w:left="-420" w:leftChars="-200" w:right="-313" w:rightChars="-149" w:firstLine="0" w:firstLineChars="0"/>
        <w:rPr>
          <w:rFonts w:ascii="仿宋_GB2312" w:hAnsi="仿宋" w:eastAsia="仿宋_GB2312" w:cs="Times New Roman"/>
          <w:sz w:val="18"/>
          <w:szCs w:val="18"/>
        </w:rPr>
      </w:pPr>
      <w:r>
        <w:rPr>
          <w:rFonts w:ascii="仿宋_GB2312" w:hAnsi="仿宋" w:eastAsia="仿宋_GB2312" w:cs="Times New Roman"/>
          <w:sz w:val="18"/>
          <w:szCs w:val="18"/>
        </w:rPr>
        <w:drawing>
          <wp:inline distT="0" distB="0" distL="0" distR="0">
            <wp:extent cx="2804160" cy="2066290"/>
            <wp:effectExtent l="0" t="0" r="15240" b="10160"/>
            <wp:docPr id="44" name="图片 44"/>
            <wp:cNvGraphicFramePr/>
            <a:graphic xmlns:a="http://schemas.openxmlformats.org/drawingml/2006/main">
              <a:graphicData uri="http://schemas.openxmlformats.org/drawingml/2006/picture">
                <pic:pic xmlns:pic="http://schemas.openxmlformats.org/drawingml/2006/picture">
                  <pic:nvPicPr>
                    <pic:cNvPr id="44" name="图片 44"/>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04400" cy="2066400"/>
                    </a:xfrm>
                    <a:prstGeom prst="rect">
                      <a:avLst/>
                    </a:prstGeom>
                  </pic:spPr>
                </pic:pic>
              </a:graphicData>
            </a:graphic>
          </wp:inline>
        </w:drawing>
      </w:r>
      <w:r>
        <w:rPr>
          <w:rFonts w:hint="eastAsia" w:ascii="仿宋_GB2312" w:hAnsi="仿宋" w:eastAsia="仿宋_GB2312" w:cs="Times New Roman"/>
          <w:sz w:val="18"/>
          <w:szCs w:val="18"/>
        </w:rPr>
        <w:drawing>
          <wp:inline distT="0" distB="0" distL="0" distR="0">
            <wp:extent cx="2804160" cy="2066290"/>
            <wp:effectExtent l="0" t="0" r="15240" b="10160"/>
            <wp:docPr id="45" name="图片 45"/>
            <wp:cNvGraphicFramePr/>
            <a:graphic xmlns:a="http://schemas.openxmlformats.org/drawingml/2006/main">
              <a:graphicData uri="http://schemas.openxmlformats.org/drawingml/2006/picture">
                <pic:pic xmlns:pic="http://schemas.openxmlformats.org/drawingml/2006/picture">
                  <pic:nvPicPr>
                    <pic:cNvPr id="45" name="图片 45"/>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04400" cy="2066400"/>
                    </a:xfrm>
                    <a:prstGeom prst="rect">
                      <a:avLst/>
                    </a:prstGeom>
                  </pic:spPr>
                </pic:pic>
              </a:graphicData>
            </a:graphic>
          </wp:inline>
        </w:drawing>
      </w:r>
    </w:p>
    <w:p>
      <w:pPr>
        <w:autoSpaceDE w:val="0"/>
        <w:rPr>
          <w:rFonts w:ascii="仿宋_GB2312" w:hAnsi="仿宋" w:eastAsia="仿宋_GB2312" w:cs="Times New Roman"/>
          <w:sz w:val="18"/>
          <w:szCs w:val="18"/>
        </w:rPr>
      </w:pPr>
      <w:r>
        <w:rPr>
          <w:rFonts w:hint="eastAsia" w:ascii="仿宋_GB2312" w:hAnsi="仿宋" w:eastAsia="仿宋_GB2312" w:cs="Times New Roman"/>
          <w:sz w:val="18"/>
          <w:szCs w:val="18"/>
        </w:rPr>
        <w:t>赴锡林郭勒关于草场现状及牧民脱贫调研队与牧民合影       队员与华林米业王总在稻田基地合影</w:t>
      </w:r>
    </w:p>
    <w:p>
      <w:pPr>
        <w:autoSpaceDE w:val="0"/>
        <w:rPr>
          <w:rFonts w:ascii="仿宋_GB2312" w:hAnsi="仿宋" w:eastAsia="仿宋_GB2312" w:cs="Times New Roman"/>
          <w:sz w:val="18"/>
          <w:szCs w:val="18"/>
        </w:rPr>
      </w:pPr>
    </w:p>
    <w:p>
      <w:pPr>
        <w:autoSpaceDE w:val="0"/>
        <w:ind w:left="-1" w:leftChars="-200" w:right="-313" w:rightChars="-149" w:hanging="419" w:hangingChars="233"/>
        <w:rPr>
          <w:rFonts w:ascii="仿宋_GB2312" w:hAnsi="仿宋" w:eastAsia="仿宋_GB2312" w:cs="Times New Roman"/>
          <w:sz w:val="18"/>
          <w:szCs w:val="18"/>
        </w:rPr>
      </w:pPr>
      <w:r>
        <w:rPr>
          <w:rFonts w:ascii="仿宋_GB2312" w:hAnsi="仿宋" w:eastAsia="仿宋_GB2312" w:cs="Times New Roman"/>
          <w:sz w:val="18"/>
          <w:szCs w:val="18"/>
        </w:rPr>
        <w:drawing>
          <wp:inline distT="0" distB="0" distL="0" distR="0">
            <wp:extent cx="2804160" cy="2066290"/>
            <wp:effectExtent l="0" t="0" r="15240" b="10160"/>
            <wp:docPr id="46" name="图片 46"/>
            <wp:cNvGraphicFramePr/>
            <a:graphic xmlns:a="http://schemas.openxmlformats.org/drawingml/2006/main">
              <a:graphicData uri="http://schemas.openxmlformats.org/drawingml/2006/picture">
                <pic:pic xmlns:pic="http://schemas.openxmlformats.org/drawingml/2006/picture">
                  <pic:nvPicPr>
                    <pic:cNvPr id="46" name="图片 46"/>
                    <pic:cNvPicPr/>
                  </pic:nvPicPr>
                  <pic:blipFill>
                    <a:blip r:embed="rId14">
                      <a:extLst>
                        <a:ext uri="{28A0092B-C50C-407E-A947-70E740481C1C}">
                          <a14:useLocalDpi xmlns:a14="http://schemas.microsoft.com/office/drawing/2010/main" val="0"/>
                        </a:ext>
                      </a:extLst>
                    </a:blip>
                    <a:stretch>
                      <a:fillRect/>
                    </a:stretch>
                  </pic:blipFill>
                  <pic:spPr>
                    <a:xfrm>
                      <a:off x="0" y="0"/>
                      <a:ext cx="2804400" cy="2066400"/>
                    </a:xfrm>
                    <a:prstGeom prst="rect">
                      <a:avLst/>
                    </a:prstGeom>
                  </pic:spPr>
                </pic:pic>
              </a:graphicData>
            </a:graphic>
          </wp:inline>
        </w:drawing>
      </w:r>
      <w:r>
        <w:rPr>
          <w:rFonts w:hint="eastAsia" w:ascii="仿宋_GB2312" w:hAnsi="仿宋" w:eastAsia="仿宋_GB2312" w:cs="Times New Roman"/>
          <w:sz w:val="18"/>
          <w:szCs w:val="18"/>
        </w:rPr>
        <w:drawing>
          <wp:inline distT="0" distB="0" distL="0" distR="0">
            <wp:extent cx="2804160" cy="2066290"/>
            <wp:effectExtent l="0" t="0" r="15240" b="10160"/>
            <wp:docPr id="47" name="图片 47"/>
            <wp:cNvGraphicFramePr/>
            <a:graphic xmlns:a="http://schemas.openxmlformats.org/drawingml/2006/main">
              <a:graphicData uri="http://schemas.openxmlformats.org/drawingml/2006/picture">
                <pic:pic xmlns:pic="http://schemas.openxmlformats.org/drawingml/2006/picture">
                  <pic:nvPicPr>
                    <pic:cNvPr id="47" name="图片 47"/>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804400" cy="2066400"/>
                    </a:xfrm>
                    <a:prstGeom prst="rect">
                      <a:avLst/>
                    </a:prstGeom>
                  </pic:spPr>
                </pic:pic>
              </a:graphicData>
            </a:graphic>
          </wp:inline>
        </w:drawing>
      </w:r>
    </w:p>
    <w:p>
      <w:pPr>
        <w:autoSpaceDE w:val="0"/>
        <w:ind w:firstLine="360" w:firstLineChars="200"/>
        <w:rPr>
          <w:rFonts w:ascii="仿宋_GB2312" w:hAnsi="仿宋" w:eastAsia="仿宋_GB2312" w:cs="Times New Roman"/>
          <w:sz w:val="18"/>
          <w:szCs w:val="18"/>
        </w:rPr>
      </w:pPr>
      <w:r>
        <w:rPr>
          <w:rFonts w:hint="eastAsia" w:ascii="仿宋_GB2312" w:hAnsi="仿宋" w:eastAsia="仿宋_GB2312" w:cs="Times New Roman"/>
          <w:sz w:val="18"/>
          <w:szCs w:val="18"/>
        </w:rPr>
        <w:t>墙绘完成后和当地村干部及村民们的合影             耐心的店主为队员介绍五泉镇农户大致情况</w:t>
      </w:r>
    </w:p>
    <w:p>
      <w:pPr>
        <w:autoSpaceDE w:val="0"/>
        <w:ind w:right="-313" w:rightChars="-149"/>
        <w:rPr>
          <w:rFonts w:ascii="仿宋_GB2312" w:hAnsi="仿宋" w:eastAsia="仿宋_GB2312" w:cs="Times New Roman"/>
          <w:sz w:val="18"/>
          <w:szCs w:val="18"/>
        </w:rPr>
      </w:pPr>
      <w:r>
        <w:rPr>
          <w:rFonts w:ascii="仿宋_GB2312" w:hAnsi="仿宋" w:eastAsia="仿宋_GB2312" w:cs="Times New Roman"/>
          <w:sz w:val="18"/>
          <w:szCs w:val="18"/>
        </w:rPr>
        <w:drawing>
          <wp:inline distT="0" distB="0" distL="0" distR="0">
            <wp:extent cx="2804160" cy="2066290"/>
            <wp:effectExtent l="0" t="0" r="15240" b="10160"/>
            <wp:docPr id="48" name="图片 48"/>
            <wp:cNvGraphicFramePr/>
            <a:graphic xmlns:a="http://schemas.openxmlformats.org/drawingml/2006/main">
              <a:graphicData uri="http://schemas.openxmlformats.org/drawingml/2006/picture">
                <pic:pic xmlns:pic="http://schemas.openxmlformats.org/drawingml/2006/picture">
                  <pic:nvPicPr>
                    <pic:cNvPr id="48" name="图片 4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804400" cy="2066400"/>
                    </a:xfrm>
                    <a:prstGeom prst="rect">
                      <a:avLst/>
                    </a:prstGeom>
                  </pic:spPr>
                </pic:pic>
              </a:graphicData>
            </a:graphic>
          </wp:inline>
        </w:drawing>
      </w:r>
      <w:r>
        <w:rPr>
          <w:rFonts w:hint="eastAsia" w:ascii="仿宋_GB2312" w:hAnsi="仿宋" w:eastAsia="仿宋_GB2312" w:cs="Times New Roman"/>
          <w:sz w:val="18"/>
          <w:szCs w:val="18"/>
        </w:rPr>
        <w:drawing>
          <wp:inline distT="0" distB="0" distL="0" distR="0">
            <wp:extent cx="2804160" cy="2066290"/>
            <wp:effectExtent l="0" t="0" r="15240" b="10160"/>
            <wp:docPr id="49" name="图片 49"/>
            <wp:cNvGraphicFramePr/>
            <a:graphic xmlns:a="http://schemas.openxmlformats.org/drawingml/2006/main">
              <a:graphicData uri="http://schemas.openxmlformats.org/drawingml/2006/picture">
                <pic:pic xmlns:pic="http://schemas.openxmlformats.org/drawingml/2006/picture">
                  <pic:nvPicPr>
                    <pic:cNvPr id="49" name="图片 49"/>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804400" cy="2066400"/>
                    </a:xfrm>
                    <a:prstGeom prst="rect">
                      <a:avLst/>
                    </a:prstGeom>
                  </pic:spPr>
                </pic:pic>
              </a:graphicData>
            </a:graphic>
          </wp:inline>
        </w:drawing>
      </w:r>
    </w:p>
    <w:p>
      <w:pPr>
        <w:autoSpaceDE w:val="0"/>
        <w:ind w:firstLine="900" w:firstLineChars="500"/>
        <w:rPr>
          <w:rFonts w:ascii="仿宋_GB2312" w:hAnsi="仿宋" w:eastAsia="仿宋_GB2312" w:cs="Times New Roman"/>
          <w:sz w:val="18"/>
          <w:szCs w:val="18"/>
        </w:rPr>
      </w:pPr>
      <w:r>
        <w:rPr>
          <w:rFonts w:hint="eastAsia" w:ascii="仿宋_GB2312" w:hAnsi="仿宋" w:eastAsia="仿宋_GB2312" w:cs="Times New Roman"/>
          <w:sz w:val="18"/>
          <w:szCs w:val="18"/>
        </w:rPr>
        <w:t>新和县棉花种植调研                               林科院交流会现场</w:t>
      </w:r>
    </w:p>
    <w:p>
      <w:pPr>
        <w:autoSpaceDE w:val="0"/>
        <w:ind w:right="-512" w:rightChars="-244"/>
        <w:rPr>
          <w:rFonts w:ascii="仿宋_GB2312" w:hAnsi="仿宋" w:eastAsia="仿宋_GB2312" w:cs="Times New Roman"/>
          <w:sz w:val="18"/>
          <w:szCs w:val="18"/>
        </w:rPr>
      </w:pPr>
      <w:r>
        <w:rPr>
          <w:rFonts w:ascii="仿宋_GB2312" w:hAnsi="仿宋" w:eastAsia="仿宋_GB2312" w:cs="Times New Roman"/>
          <w:sz w:val="18"/>
          <w:szCs w:val="18"/>
        </w:rPr>
        <w:drawing>
          <wp:inline distT="0" distB="0" distL="0" distR="0">
            <wp:extent cx="2804160" cy="2066290"/>
            <wp:effectExtent l="0" t="0" r="15240" b="10160"/>
            <wp:docPr id="50" name="图片 50"/>
            <wp:cNvGraphicFramePr/>
            <a:graphic xmlns:a="http://schemas.openxmlformats.org/drawingml/2006/main">
              <a:graphicData uri="http://schemas.openxmlformats.org/drawingml/2006/picture">
                <pic:pic xmlns:pic="http://schemas.openxmlformats.org/drawingml/2006/picture">
                  <pic:nvPicPr>
                    <pic:cNvPr id="50" name="图片 50"/>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804400" cy="2066400"/>
                    </a:xfrm>
                    <a:prstGeom prst="rect">
                      <a:avLst/>
                    </a:prstGeom>
                  </pic:spPr>
                </pic:pic>
              </a:graphicData>
            </a:graphic>
          </wp:inline>
        </w:drawing>
      </w:r>
      <w:r>
        <w:rPr>
          <w:rFonts w:hint="eastAsia" w:ascii="仿宋_GB2312" w:hAnsi="仿宋" w:eastAsia="仿宋_GB2312" w:cs="Times New Roman"/>
          <w:sz w:val="18"/>
          <w:szCs w:val="18"/>
        </w:rPr>
        <w:drawing>
          <wp:inline distT="0" distB="0" distL="0" distR="0">
            <wp:extent cx="2804160" cy="2066290"/>
            <wp:effectExtent l="0" t="0" r="15240" b="10160"/>
            <wp:docPr id="52" name="图片 52"/>
            <wp:cNvGraphicFramePr/>
            <a:graphic xmlns:a="http://schemas.openxmlformats.org/drawingml/2006/main">
              <a:graphicData uri="http://schemas.openxmlformats.org/drawingml/2006/picture">
                <pic:pic xmlns:pic="http://schemas.openxmlformats.org/drawingml/2006/picture">
                  <pic:nvPicPr>
                    <pic:cNvPr id="52" name="图片 52"/>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804400" cy="2066400"/>
                    </a:xfrm>
                    <a:prstGeom prst="rect">
                      <a:avLst/>
                    </a:prstGeom>
                  </pic:spPr>
                </pic:pic>
              </a:graphicData>
            </a:graphic>
          </wp:inline>
        </w:drawing>
      </w:r>
    </w:p>
    <w:p>
      <w:pPr>
        <w:autoSpaceDE w:val="0"/>
        <w:ind w:firstLine="900" w:firstLineChars="500"/>
        <w:rPr>
          <w:rFonts w:ascii="仿宋_GB2312" w:hAnsi="仿宋" w:eastAsia="仿宋_GB2312" w:cs="Times New Roman"/>
          <w:sz w:val="18"/>
          <w:szCs w:val="18"/>
        </w:rPr>
      </w:pPr>
      <w:r>
        <w:rPr>
          <w:rFonts w:hint="eastAsia" w:ascii="仿宋_GB2312" w:hAnsi="仿宋" w:eastAsia="仿宋_GB2312" w:cs="Times New Roman"/>
          <w:sz w:val="18"/>
          <w:szCs w:val="18"/>
        </w:rPr>
        <w:t>电竞产业园董事长与学生亲切交流                   吴鹏为大家讲解排气控温系统</w:t>
      </w:r>
    </w:p>
    <w:p>
      <w:pPr>
        <w:autoSpaceDE w:val="0"/>
        <w:ind w:right="-512" w:rightChars="-244"/>
        <w:rPr>
          <w:rFonts w:ascii="仿宋_GB2312" w:hAnsi="仿宋" w:eastAsia="仿宋_GB2312" w:cs="Times New Roman"/>
          <w:sz w:val="18"/>
          <w:szCs w:val="18"/>
        </w:rPr>
      </w:pPr>
      <w:r>
        <w:rPr>
          <w:rFonts w:hint="eastAsia" w:ascii="仿宋_GB2312" w:hAnsi="仿宋" w:eastAsia="仿宋_GB2312" w:cs="Times New Roman"/>
          <w:sz w:val="18"/>
          <w:szCs w:val="18"/>
        </w:rPr>
        <w:drawing>
          <wp:inline distT="0" distB="0" distL="0" distR="0">
            <wp:extent cx="2804160" cy="2066290"/>
            <wp:effectExtent l="0" t="0" r="15240" b="10160"/>
            <wp:docPr id="53" name="图片 53"/>
            <wp:cNvGraphicFramePr/>
            <a:graphic xmlns:a="http://schemas.openxmlformats.org/drawingml/2006/main">
              <a:graphicData uri="http://schemas.openxmlformats.org/drawingml/2006/picture">
                <pic:pic xmlns:pic="http://schemas.openxmlformats.org/drawingml/2006/picture">
                  <pic:nvPicPr>
                    <pic:cNvPr id="53" name="图片 53"/>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804400" cy="2066400"/>
                    </a:xfrm>
                    <a:prstGeom prst="rect">
                      <a:avLst/>
                    </a:prstGeom>
                  </pic:spPr>
                </pic:pic>
              </a:graphicData>
            </a:graphic>
          </wp:inline>
        </w:drawing>
      </w:r>
      <w:r>
        <w:rPr>
          <w:rFonts w:hint="eastAsia" w:ascii="仿宋_GB2312" w:hAnsi="仿宋" w:eastAsia="仿宋_GB2312" w:cs="Times New Roman"/>
          <w:sz w:val="18"/>
          <w:szCs w:val="18"/>
        </w:rPr>
        <w:drawing>
          <wp:inline distT="0" distB="0" distL="0" distR="0">
            <wp:extent cx="2804160" cy="2066290"/>
            <wp:effectExtent l="0" t="0" r="15240" b="10160"/>
            <wp:docPr id="54" name="图片 54"/>
            <wp:cNvGraphicFramePr/>
            <a:graphic xmlns:a="http://schemas.openxmlformats.org/drawingml/2006/main">
              <a:graphicData uri="http://schemas.openxmlformats.org/drawingml/2006/picture">
                <pic:pic xmlns:pic="http://schemas.openxmlformats.org/drawingml/2006/picture">
                  <pic:nvPicPr>
                    <pic:cNvPr id="54" name="图片 54"/>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804400" cy="2066400"/>
                    </a:xfrm>
                    <a:prstGeom prst="rect">
                      <a:avLst/>
                    </a:prstGeom>
                  </pic:spPr>
                </pic:pic>
              </a:graphicData>
            </a:graphic>
          </wp:inline>
        </w:drawing>
      </w:r>
    </w:p>
    <w:p>
      <w:pPr>
        <w:autoSpaceDE w:val="0"/>
        <w:ind w:firstLine="900" w:firstLineChars="500"/>
        <w:rPr>
          <w:rFonts w:ascii="仿宋_GB2312" w:hAnsi="仿宋" w:eastAsia="仿宋_GB2312" w:cs="Times New Roman"/>
          <w:sz w:val="18"/>
          <w:szCs w:val="18"/>
        </w:rPr>
      </w:pPr>
      <w:r>
        <w:rPr>
          <w:rFonts w:hint="eastAsia" w:ascii="仿宋_GB2312" w:hAnsi="仿宋" w:eastAsia="仿宋_GB2312" w:cs="Times New Roman"/>
          <w:sz w:val="18"/>
          <w:szCs w:val="18"/>
        </w:rPr>
        <w:t>队员和员工正在进行点眼免疫                       苹果实验基地队伍与师兄合影</w:t>
      </w:r>
    </w:p>
    <w:p>
      <w:pPr>
        <w:numPr>
          <w:ilvl w:val="0"/>
          <w:numId w:val="0"/>
        </w:numPr>
        <w:spacing w:line="360" w:lineRule="auto"/>
        <w:rPr>
          <w:rFonts w:hint="default"/>
          <w:sz w:val="24"/>
          <w:szCs w:val="24"/>
          <w:lang w:val="en-US" w:eastAsia="zh-CN"/>
        </w:rPr>
      </w:pPr>
    </w:p>
    <w:sectPr>
      <w:pgSz w:w="11906" w:h="16838"/>
      <w:pgMar w:top="1440" w:right="1800" w:bottom="1440" w:left="138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altName w:val="Segoe UI"/>
    <w:panose1 w:val="020F0502020204030204"/>
    <w:charset w:val="00"/>
    <w:family w:val="swiss"/>
    <w:pitch w:val="default"/>
    <w:sig w:usb0="00000000" w:usb1="00000000" w:usb2="00000001" w:usb3="00000000" w:csb0="0000019F" w:csb1="00000000"/>
  </w:font>
  <w:font w:name="Segoe UI">
    <w:panose1 w:val="020B0502040204020203"/>
    <w:charset w:val="00"/>
    <w:family w:val="auto"/>
    <w:pitch w:val="default"/>
    <w:sig w:usb0="E4002EFF" w:usb1="C000E47F" w:usb2="00000009" w:usb3="00000000" w:csb0="200001FF" w:csb1="00000000"/>
  </w:font>
  <w:font w:name="方正小标宋简体">
    <w:panose1 w:val="03000509000000000000"/>
    <w:charset w:val="86"/>
    <w:family w:val="script"/>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3F93D4D"/>
    <w:multiLevelType w:val="singleLevel"/>
    <w:tmpl w:val="13F93D4D"/>
    <w:lvl w:ilvl="0" w:tentative="0">
      <w:start w:val="1"/>
      <w:numFmt w:val="decimal"/>
      <w:suff w:val="space"/>
      <w:lvlText w:val="%1."/>
      <w:lvlJc w:val="left"/>
    </w:lvl>
  </w:abstractNum>
  <w:abstractNum w:abstractNumId="1">
    <w:nsid w:val="360B22EC"/>
    <w:multiLevelType w:val="singleLevel"/>
    <w:tmpl w:val="360B22EC"/>
    <w:lvl w:ilvl="0" w:tentative="0">
      <w:start w:val="1"/>
      <w:numFmt w:val="decimal"/>
      <w:suff w:val="nothing"/>
      <w:lvlText w:val="（%1）"/>
      <w:lvlJc w:val="left"/>
    </w:lvl>
  </w:abstractNum>
  <w:abstractNum w:abstractNumId="2">
    <w:nsid w:val="521203D4"/>
    <w:multiLevelType w:val="singleLevel"/>
    <w:tmpl w:val="521203D4"/>
    <w:lvl w:ilvl="0" w:tentative="0">
      <w:start w:val="1"/>
      <w:numFmt w:val="decimal"/>
      <w:suff w:val="space"/>
      <w:lvlText w:val="%1."/>
      <w:lvlJc w:val="left"/>
    </w:lvl>
  </w:abstractNum>
  <w:num w:numId="1">
    <w:abstractNumId w:val="0"/>
  </w:num>
  <w:num w:numId="2">
    <w:abstractNumId w:val="2"/>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3B4A56F2"/>
    <w:rsid w:val="074D2E3E"/>
    <w:rsid w:val="18C4396B"/>
    <w:rsid w:val="1D636CDC"/>
    <w:rsid w:val="24E47529"/>
    <w:rsid w:val="3B4A56F2"/>
    <w:rsid w:val="3C0907F6"/>
    <w:rsid w:val="6017013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22"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paragraph" w:styleId="2">
    <w:name w:val="heading 2"/>
    <w:basedOn w:val="1"/>
    <w:next w:val="1"/>
    <w:qFormat/>
    <w:uiPriority w:val="0"/>
    <w:pPr>
      <w:keepNext/>
      <w:keepLines/>
      <w:spacing w:before="260" w:after="260" w:line="413" w:lineRule="auto"/>
      <w:outlineLvl w:val="1"/>
    </w:pPr>
    <w:rPr>
      <w:rFonts w:ascii="Arial" w:hAnsi="Arial"/>
      <w:b/>
      <w:sz w:val="36"/>
    </w:rPr>
  </w:style>
  <w:style w:type="paragraph" w:styleId="3">
    <w:name w:val="heading 3"/>
    <w:basedOn w:val="1"/>
    <w:next w:val="1"/>
    <w:qFormat/>
    <w:uiPriority w:val="9"/>
    <w:pPr>
      <w:widowControl/>
      <w:spacing w:before="100" w:beforeAutospacing="1" w:after="100" w:afterAutospacing="1"/>
      <w:jc w:val="left"/>
      <w:outlineLvl w:val="2"/>
    </w:pPr>
    <w:rPr>
      <w:rFonts w:ascii="宋体" w:hAnsi="宋体" w:eastAsia="宋体" w:cs="宋体"/>
      <w:b/>
      <w:bCs/>
      <w:kern w:val="0"/>
      <w:sz w:val="27"/>
      <w:szCs w:val="27"/>
    </w:rPr>
  </w:style>
  <w:style w:type="character" w:default="1" w:styleId="6">
    <w:name w:val="Default Paragraph Font"/>
    <w:semiHidden/>
    <w:qFormat/>
    <w:uiPriority w:val="0"/>
  </w:style>
  <w:style w:type="table" w:default="1" w:styleId="4">
    <w:name w:val="Normal Table"/>
    <w:semiHidden/>
    <w:uiPriority w:val="0"/>
    <w:tblPr>
      <w:tblCellMar>
        <w:top w:w="0" w:type="dxa"/>
        <w:left w:w="108" w:type="dxa"/>
        <w:bottom w:w="0" w:type="dxa"/>
        <w:right w:w="108" w:type="dxa"/>
      </w:tblCellMar>
    </w:tblPr>
  </w:style>
  <w:style w:type="table" w:styleId="5">
    <w:name w:val="Table Grid"/>
    <w:basedOn w:val="4"/>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Strong"/>
    <w:basedOn w:val="6"/>
    <w:qFormat/>
    <w:uiPriority w:val="22"/>
    <w:rPr>
      <w:b/>
      <w:bCs/>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4" Type="http://schemas.openxmlformats.org/officeDocument/2006/relationships/fontTable" Target="fontTable.xml"/><Relationship Id="rId23" Type="http://schemas.openxmlformats.org/officeDocument/2006/relationships/numbering" Target="numbering.xml"/><Relationship Id="rId22" Type="http://schemas.openxmlformats.org/officeDocument/2006/relationships/customXml" Target="../customXml/item1.xml"/><Relationship Id="rId21" Type="http://schemas.openxmlformats.org/officeDocument/2006/relationships/image" Target="media/image18.png"/><Relationship Id="rId20" Type="http://schemas.openxmlformats.org/officeDocument/2006/relationships/image" Target="media/image17.jpeg"/><Relationship Id="rId2" Type="http://schemas.openxmlformats.org/officeDocument/2006/relationships/settings" Target="settings.xml"/><Relationship Id="rId19" Type="http://schemas.openxmlformats.org/officeDocument/2006/relationships/image" Target="media/image16.jpe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jpe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TotalTime>2</TotalTime>
  <ScaleCrop>false</ScaleCrop>
  <LinksUpToDate>false</LinksUpToDate>
  <CharactersWithSpaces>0</CharactersWithSpaces>
  <Application>WPS Office_11.1.0.10495_F1E327BC-269C-435d-A152-05C5408002CA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2021-05-18T12:42:00Z</dcterms:created>
  <dc:creator>Administrator</dc:creator>
  <cp:lastModifiedBy>Administrator</cp:lastModifiedBy>
  <dcterms:modified xsi:type="dcterms:W3CDTF">2021-05-20T14:07:55Z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2052-11.1.0.10495</vt:lpwstr>
  </property>
  <property fmtid="{D5CDD505-2E9C-101B-9397-08002B2CF9AE}" pid="3" name="ICV">
    <vt:lpwstr>383D9D1BC2E6404CA5C5537E42688293</vt:lpwstr>
  </property>
</Properties>
</file>